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Udian Holdings Limited - Glencoe Resthome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Udian Holdings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Glencoe Resthome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December 2020</w:t>
      </w:r>
      <w:bookmarkEnd w:id="7"/>
      <w:r w:rsidRPr="009418D4">
        <w:rPr>
          <w:rFonts w:cs="Arial"/>
        </w:rPr>
        <w:tab/>
        <w:t xml:space="preserve">End date: </w:t>
      </w:r>
      <w:bookmarkStart w:id="8" w:name="AuditEndDate"/>
      <w:r w:rsidR="00A4268A">
        <w:rPr>
          <w:rFonts w:cs="Arial"/>
        </w:rPr>
        <w:t>2 December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Glencoe Rest Home is one of two facilities owned by this owner. Glencoe Rest Home provides rest home level care for up to 15 residents. There are 13 residents receiving care at audit.</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provider’s contract with the district health board. The audit process included the review of policies and procedures, a review of resident and staff files, observations, and interviews with residents, family members, the registered nurse, staff, facility manager and the general practitioner. Feedback from residents and families/whānau members was positive about the care and services provided. </w:t>
      </w:r>
    </w:p>
    <w:p w:rsidRPr="00A4268A">
      <w:pPr>
        <w:spacing w:before="240" w:line="276" w:lineRule="auto"/>
        <w:rPr>
          <w:rFonts w:eastAsia="Calibri"/>
        </w:rPr>
      </w:pPr>
      <w:r w:rsidRPr="00A4268A">
        <w:rPr>
          <w:rFonts w:eastAsia="Calibri"/>
        </w:rPr>
        <w:t xml:space="preserve">The one area requiring improvement from the previous audit was assessed and those non-conformances have been addressed.  No new areas requiring improvement were identified.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facility.  Monitoring of the services provided to the governing body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Each stage of service provision is managed by suitably qualified personnel who are competent to perform the function they manage.</w:t>
      </w:r>
    </w:p>
    <w:p w:rsidRPr="00A4268A" w:rsidP="00621629">
      <w:pPr>
        <w:spacing w:before="240" w:line="276" w:lineRule="auto"/>
        <w:rPr>
          <w:rFonts w:eastAsia="Calibri"/>
        </w:rPr>
      </w:pPr>
      <w:r w:rsidRPr="00A4268A">
        <w:rPr>
          <w:rFonts w:eastAsia="Calibri"/>
        </w:rPr>
        <w:t>Care plans are individualised, based on a comprehensive range of information and accommodate any new problems that might arise. Files reviewed demonstrated that the care provided and needs of residents are reviewed and evaluated on a regular and timely basis.</w:t>
      </w:r>
    </w:p>
    <w:p w:rsidRPr="00A4268A" w:rsidP="00621629">
      <w:pPr>
        <w:spacing w:before="240" w:line="276" w:lineRule="auto"/>
        <w:rPr>
          <w:rFonts w:eastAsia="Calibri"/>
        </w:rPr>
      </w:pPr>
      <w:r w:rsidRPr="00A4268A">
        <w:rPr>
          <w:rFonts w:eastAsia="Calibri"/>
        </w:rPr>
        <w:t>The planned activities provide residents with a variety of individual and group activities and maintains their links with the community. 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facility has implemented policies and procedures that support the minimisation of restraint.  At the time of audit, the facility was restraint free. There is a comprehensive assessment, approval and monitoring process identified in policy should restraint be required. Policy states that the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surveillance undertaken is appropriate for the size of the facility. Infection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of Health and Disability Services Consumers’ Rights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there were five verbal complaints received over the past year and that actions taken, through to an agreed resolution, are documented and completed within the required timeframes. The majority of these in-house complaints related to meal service, miscommunication with a staff member and an item that was identified as lost but then found in the residents’ room.  Action plans showed any required follow up and improvements have been made where possible.  The manager is responsible for complaints management and follow up. All staff interviewed confirmed a sound understanding of the complaint process and what actions are required.   There have been no complaints received from the District Health Board, Ministry of Health or Health and Disability Commissioner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are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knew how to access interpreter services.  At the time of audit there was one resident that understood English but was unable to have conversations in English.  Staff and family were available to translate when required.  One resident has impaired vision, is supported by an electronic reading book apparatus, and is regularly visited by the blind foundation.   This information, equipment, resources and allied support was evidenced in the residents’ long-term care plans.  Residents and family interviewed were happy with the support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Glencoe Rest Home has a documented mission statement, philosophy and values.  The manager lives on site and is confirmed being readily available to residents and family.</w:t>
            </w:r>
          </w:p>
          <w:p w:rsidR="00EB7645" w:rsidRPr="00BE00C7" w:rsidP="00BE00C7">
            <w:pPr>
              <w:pStyle w:val="OutcomeDescription"/>
              <w:spacing w:before="120" w:after="120"/>
              <w:rPr>
                <w:rFonts w:cs="Arial"/>
                <w:b w:val="0"/>
                <w:lang w:eastAsia="en-NZ"/>
              </w:rPr>
            </w:pPr>
            <w:r w:rsidRPr="00BE00C7">
              <w:rPr>
                <w:rFonts w:cs="Arial"/>
                <w:b w:val="0"/>
                <w:lang w:eastAsia="en-NZ"/>
              </w:rPr>
              <w:t>The manager monitors the progress in achieving goals via day to day activities, resident / family feedback and monitoring of the results of quality and risk activities. The manager has worked at Glencoe since the owner / director purchased the rest home; and prior to this has worked in a range of information technology / communication roles both in New Zealand and overseas.  The manager participates in relevant ongoing education as required to meet the provider’s contract with Counties Manukau District Health Board (CMDHB).  When required due to Covid-19 restrictions meetings and education occur online.</w:t>
            </w:r>
          </w:p>
          <w:p w:rsidR="00EB7645" w:rsidRPr="00BE00C7" w:rsidP="00BE00C7">
            <w:pPr>
              <w:pStyle w:val="OutcomeDescription"/>
              <w:spacing w:before="120" w:after="120"/>
              <w:rPr>
                <w:rFonts w:cs="Arial"/>
                <w:b w:val="0"/>
                <w:lang w:eastAsia="en-NZ"/>
              </w:rPr>
            </w:pPr>
            <w:r w:rsidRPr="00BE00C7">
              <w:rPr>
                <w:rFonts w:cs="Arial"/>
                <w:b w:val="0"/>
                <w:lang w:eastAsia="en-NZ"/>
              </w:rPr>
              <w:t>Since the last audit bedrooms continue to be re painted and there are plans for 2021 for an existing toilet to be converted into another shower room (see criterion 1.4.2).  This aligns with facility goals.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Prior to Covid-19 a registered nurse was supporting both Glencoe Rest Home and its sister facility.  A bureau registered nurse was employed on the on the 18 August 2020 to solely support Glencoe while awaiting the commencement of a new registered nurse.  The current experienced registered nurse was employed on the 10 September 2020 and is responsible for the clinical services provided only at Glencoe Rest Home. She works 32 hours a week on site, normally Monday, Tuesday, Thursday and Fridays. The RN is on call at all times when not on site. The RN has a current annual practising certificate (APC), and on the day of audit was due to complete interRAI training which has now been rebooked.  In the interim the RN (from Glencoe’s sister facility) continues to be contracted to assist with InterRAI assessments. The hours worked depends on the number of new residents and number of residents requiring review.  The hours for interRAI assessment were additional to the employed RN hours.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contract with CMDHB for the provision of aged related long-term support, chronic health conditions and residential and respite services. All residents have been assessed as requiring rest home level care. This includes one resident under the care of the DHB mental health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complaints, audit activities, a regular patient satisfaction survey, monitoring of outcomes, and clinical incidents including infections.</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monthly management team meetings/quality meetings and staff meetings. Staff reported their involvement in quality and risk management activities through audit activities and discussions in staff meetings.  Relevant corrective actions are developed and implemented to address any shortfalls. Resident/family satisfaction surveys are completed yearly. The most recent survey in June 2020 received feedback from four residents.  The survey results reviewed by the auditor did not raise any concerns with feedback received showing that overall residents and family were very happy with the care and services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audit identified an area for improvement to ensure that policies were reviewed regularly and cover all necessary aspects specific to the service and contractual requirements.  The corrective action is now addressed, and records were available to demonstrate that policies are have been reviewed, are based on best practice and were current and specific to the service.   The document control system ensures a systematic and regular review process, referencing of relevant sources which included the interRAI Long Term Care Facility (LTCF) assessment tool and process,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and registered nurse described the processes for the identification, monitoring, review and reporting of risks and development of mitigation strategies and are both familiar with the Health and Safety at Work Act (2015) and have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by the registered nurse and reported to the manager.</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 and manager described essential notification reporting requirements, including for pressure injuries.  Emails evidence that the CMDHB were notified of the two registered nurse changes on the 19 August 2020 and again on the 28 September 2020.  A section 31 re: notification of change of clinical manager/RN was sighted and sent on the day of audit. There have been no police investigations, coroners’ inquests, issues-based audits or public health notifications made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Continuing education is planned on an annual basis, including mandatory training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newly appointed registered nurse was fully orientated remotely (due to Covid-19) and documentation was sighted to evidence this including medication competency.  The registered nurse continues to be externally supported as required by the registered nurse residing at Glencoe’s sister facility.  Glencoe Rest home was visited by the clinical nurse specialist and director of nursing for Counties Manukau District Health Board (CMDHB) and met with the registered nurse and manager on the 14 October 2020.  The registered nurse is aware of online support training and will attend training and aged care meetings with CMDHB once they resume.</w:t>
            </w:r>
          </w:p>
          <w:p w:rsidR="00EB7645" w:rsidRPr="00BE00C7" w:rsidP="00BE00C7">
            <w:pPr>
              <w:pStyle w:val="OutcomeDescription"/>
              <w:spacing w:before="120" w:after="120"/>
              <w:rPr>
                <w:rFonts w:cs="Arial"/>
                <w:b w:val="0"/>
                <w:lang w:eastAsia="en-NZ"/>
              </w:rPr>
            </w:pPr>
            <w:r w:rsidRPr="00BE00C7">
              <w:rPr>
                <w:rFonts w:cs="Arial"/>
                <w:b w:val="0"/>
                <w:lang w:eastAsia="en-NZ"/>
              </w:rPr>
              <w:t>All care staff have been employed having an equivalent qualification that meets that meet level two requirements of career force New Zealand Qualification Authority education programme and the requirements of the provider’s agreement with the DHB.  The manager interviewed stated that she is currently working with career force to support the care staff to move forward with their career force training.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with staff reporting that good access to advice is available when needed by the registered nurse and manager.   Care staff reported there were adequate staff available to complete the work allocated to them.  Residents and family members interviewed supported this. Observations and review of the roster confirmed adequate staff cover has been provided, with staff replaced in any unplanned absence.  At least one staff member on duty has a current first aid certificate which also includes the registered nurse and manager. </w:t>
            </w:r>
          </w:p>
          <w:p w:rsidR="00EB7645" w:rsidRPr="00BE00C7" w:rsidP="00BE00C7">
            <w:pPr>
              <w:pStyle w:val="OutcomeDescription"/>
              <w:spacing w:before="120" w:after="120"/>
              <w:rPr>
                <w:rFonts w:cs="Arial"/>
                <w:b w:val="0"/>
                <w:lang w:eastAsia="en-NZ"/>
              </w:rPr>
            </w:pPr>
            <w:r w:rsidRPr="00BE00C7">
              <w:rPr>
                <w:rFonts w:cs="Arial"/>
                <w:b w:val="0"/>
                <w:lang w:eastAsia="en-NZ"/>
              </w:rPr>
              <w:t>A dedicated Covid-19 preparedness plan was evidenced which identified interventions that were in place to reduce and minimise the risk of infections and included action plans that would be implemented if an event occurred which included staffing/roster, residents/visitors, hygiene and infection control plans for different alert levels, and a dedicated isolated area.  Training records were sighted showing training supporting staff and their knowledge about Covid-19.  Training included practices/process and particularly the isolation set up eg: gowns/masks/gloves donning and doffing areas, cleaning, and infection control.   The manager reported that Glencoe Rest Home completed a zoom meeting with the clinical nurse specialist from Counties Manukau District Health Board on the 17 April 2020.  At the time of audit, the rest home had not received a documented outcome of this meeting.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Glencoe uses a paper-based medicine management system. The RN was observed administering medicines. They demonstrated good knowledge and had a clear understanding of their roles and responsibilities related to each stage of medicine management. All staff who administer medicines have current medication administration competency.  </w:t>
            </w:r>
          </w:p>
          <w:p w:rsidR="00EB7645" w:rsidRPr="00BE00C7" w:rsidP="00BE00C7">
            <w:pPr>
              <w:pStyle w:val="OutcomeDescription"/>
              <w:spacing w:before="120" w:after="120"/>
              <w:rPr>
                <w:rFonts w:cs="Arial"/>
                <w:b w:val="0"/>
                <w:lang w:eastAsia="en-NZ"/>
              </w:rPr>
            </w:pPr>
            <w:r w:rsidRPr="00BE00C7">
              <w:rPr>
                <w:rFonts w:cs="Arial"/>
                <w:b w:val="0"/>
                <w:lang w:eastAsia="en-NZ"/>
              </w:rPr>
              <w:t>The contracted pharmacy supply medicines in pre-packaged format. The RN checks medications against the prescription when they are delivered from pharmacy. All medications sighted were within current use by dates. Clinical pharmacist input is provided on request. The records of temperatures for the medicine fridge and the medication room reviewed were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There were no controlled drugs stored on site on the day of the audit. There is an appropriate system for controlled drugs storage that is in accordance with legislative requirements. The previous entries in the controlled drug register provided evidence of weekly and six-monthly stock checks.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charts reviewed included the GP’s signature and the dates for commencement and discontinuation of medicines and all requirements for pro re nata (PRN) medicines. Three-monthly medication reviews were completed consistently.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were self-administering medications at the time of audit. Appropriate processes were in place to ensure this was managed in a safe manner when required. 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trained caregivers and is in line with recognised nutritional guidelines for older people. All staff who work in the kitchen have received training on safe food handling training. The menu follows a six-weekly cycle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comply with current legislation and guidelines. The service operates with an approved food safety plan and registration issued by the local council. Food temperatures, including for high risk items, are monitored appropriately and recorded as part of the plan.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Copies of diet profiles for all residents were kept in the kitchen folder, and any changes are made known to the kitchen staff. Nutritional supplements are provided to residents as required.</w:t>
            </w:r>
          </w:p>
          <w:p w:rsidR="00EB7645" w:rsidRPr="00BE00C7" w:rsidP="00BE00C7">
            <w:pPr>
              <w:pStyle w:val="OutcomeDescription"/>
              <w:spacing w:before="120" w:after="120"/>
              <w:rPr>
                <w:rFonts w:cs="Arial"/>
                <w:b w:val="0"/>
                <w:lang w:eastAsia="en-NZ"/>
              </w:rPr>
            </w:pPr>
            <w:r w:rsidRPr="00BE00C7">
              <w:rPr>
                <w:rFonts w:cs="Arial"/>
                <w:b w:val="0"/>
                <w:lang w:eastAsia="en-NZ"/>
              </w:rPr>
              <w:t>Interviewed residents confirmed satisfaction with the meals provided. Reviewed satisfaction surveys and resident meeting minutes verified this. Residents were given enough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provided to residents was consistent with their assessed needs, goals and the plan of care. This was verified by documentation, observations and interviews conducted with residents and family. Residents’ individualised needs was evident in all areas of service provision.  The GP verified that medical input was sought in a timely manner, that medical orders were followed, and care provided was appropriate. The caregivers confirmed that care was provided as outlined in the documentation. Appropriate equipment and resources were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history assessment is completed on admission to ascertain residents’ needs, interests, abilities and social requirements. Activities assessments are regularly reviewed to help formulate an activities programme that is meaningful to the residents. Daily attendance records were completed and data from these was used as a basis for evaluation of participation. Reviewed activities plans were evaluated six -monthly as part of long-term care plan evaluation.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activities coordinator with the support of all staff when required. The planned activities reflected residents’ goals, ordinary patterns of life and included normal community activities. Individual, group activities and regular events are offered. Activities on the programme included: bowls, card games, exercises, movies, music, birthday celebrations, coffee on the deck, monthly theme celebrations and happy hour. Residents can attend to church services in the community if desired and they are escorted by their family or church groups. Residents and families/whānau are involved in evaluating and improving the programme through residents’ meetings and satisfaction surveys. Residents were participating in a variety of activities on the day of the audit. Residents and family interviewed confirmed they find the programme satisfactory.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by the caregivers.  If any change is noted, it is reported to the RN. The RN reviews and document in the progress notes at least weekly and more frequently when indicated as determined by the resident’s condition.</w:t>
            </w:r>
          </w:p>
          <w:p w:rsidR="00EB7645" w:rsidRPr="00BE00C7" w:rsidP="00BE00C7">
            <w:pPr>
              <w:pStyle w:val="OutcomeDescription"/>
              <w:spacing w:before="120" w:after="120"/>
              <w:rPr>
                <w:rFonts w:cs="Arial"/>
                <w:b w:val="0"/>
                <w:lang w:eastAsia="en-NZ"/>
              </w:rPr>
            </w:pPr>
            <w:r w:rsidRPr="00BE00C7">
              <w:rPr>
                <w:rFonts w:cs="Arial"/>
                <w:b w:val="0"/>
                <w:lang w:eastAsia="en-NZ"/>
              </w:rPr>
              <w:t>The reviewed records showed that formal long-term care plan evaluations occur every six months following the six-monthly interRAI reassessments, or as residents’ needs change. The evaluations indicated the degree of achievement or response to the interventions and/or support provided, and progress towards meeting the desired outcome. Where progress was different from expected, the service responded by initiating changes to the plan of care.</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consistently reviewed, and progress evaluated as clinically indicated. Short term care plans sighted were for urinary tract, chest infections and weight issues. The RN reported that unresolved conditions are added to long-term care plans. Residents and families/whānau interviewed confirmed their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current building warrant of fitness expiry 16 March 2021 which is publicly displayed. No changes have occurred to the facility with the exception of some renovation / refurbishment activities.  The fire evacuation plan has not required amendment.   The residents have access to one shower room.  A document dated 15 July 2020 was sighted showing plans to renovate an existing toilet into another shower (see criterion 1.4.2).    Each of the bedroom’s residents have a hand basin with access to pump soap bottles and a linen towel which is removed and washed daily or earlier if required. The manager interviewed stated that they will be implementing wall mounted paper towel and soap dispensers for the resident’s rooms in 2021.  There is hand sanitiser mounted to the walls throughout the corridors and individual pump hand sanitiser bottles were sighted in the lounge, dining area, kitchen and on the medication and dressing trolleys.  The facility has five toilets. Paper towels and soap dispensers were sighted on the walls of these rooms.  There are also hand basins with supporting paper towels and soap dispensers in the kitchen and laundry.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and the upper and lower respiratory tract. The infection control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this is reported to the facility manager. Recommendations to assist in infection reduction and prevention were acted upon. Infection control measures recommended by the ministry of health for the management of COVID-19 pandemic were implemented. There was no reported infection outbreak reported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practices and her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and no residents were using enablers, which were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Udian Holdings Limited - Glencoe Resthome</w:t>
    </w:r>
    <w:bookmarkEnd w:id="58"/>
    <w:r>
      <w:rPr>
        <w:rFonts w:cs="Arial"/>
        <w:sz w:val="16"/>
        <w:szCs w:val="20"/>
      </w:rPr>
      <w:tab/>
      <w:t xml:space="preserve">Date of Audit: </w:t>
    </w:r>
    <w:bookmarkStart w:id="59" w:name="AuditStartDate1"/>
    <w:r>
      <w:rPr>
        <w:rFonts w:cs="Arial"/>
        <w:sz w:val="16"/>
        <w:szCs w:val="20"/>
      </w:rPr>
      <w:t>2 December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