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Well Health Care Limited - Fencible Manor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Well Health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Fencible Manor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October 2020</w:t>
      </w:r>
      <w:bookmarkEnd w:id="7"/>
      <w:r w:rsidRPr="009418D4">
        <w:rPr>
          <w:rFonts w:cs="Arial"/>
        </w:rPr>
        <w:tab/>
        <w:t xml:space="preserve">End date: </w:t>
      </w:r>
      <w:bookmarkStart w:id="8" w:name="AuditEndDate"/>
      <w:r w:rsidR="00A4268A">
        <w:rPr>
          <w:rFonts w:cs="Arial"/>
        </w:rPr>
        <w:t>23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Fencible Manor is owned and operated by two owners including the owner/manager who is also a registered nurse.  The service can provide care for up to 19 residents.  On the day of audit there were 19 rest home residents including one resident using respite.  The residents and family members interviewed commented positively on the care and services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general practitioner, and staff.</w:t>
      </w:r>
    </w:p>
    <w:p w:rsidRPr="00A4268A">
      <w:pPr>
        <w:spacing w:before="240" w:line="276" w:lineRule="auto"/>
        <w:rPr>
          <w:rFonts w:eastAsia="Calibri"/>
        </w:rPr>
      </w:pPr>
      <w:r w:rsidRPr="00A4268A">
        <w:rPr>
          <w:rFonts w:eastAsia="Calibri"/>
        </w:rPr>
        <w:t xml:space="preserve">The corrective action identified at the previous audit around resident meetings has been addressed. </w:t>
      </w:r>
    </w:p>
    <w:p w:rsidRPr="00A4268A">
      <w:pPr>
        <w:spacing w:before="240" w:line="276" w:lineRule="auto"/>
        <w:rPr>
          <w:rFonts w:eastAsia="Calibri"/>
        </w:rPr>
      </w:pPr>
      <w:r w:rsidRPr="00A4268A">
        <w:rPr>
          <w:rFonts w:eastAsia="Calibri"/>
        </w:rPr>
        <w:t>This audit identified improvements required around completion of interRAI assessments and access doors to the external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Residents and family report that communication with management and staff is open and transparent.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to meet the needs of the residents.  An owner/manager with support from a second owner and a registered nurse are responsible for the day-to-day operations.  Goals are documented for the service with evidence of regular reviews.  Key components of the quality and risk management programme are documented and include management of complaints, an internal audit schedule, completion of satisfaction surveys, analysis of incidents and accidents, and an implemented health and safety programme.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as per documented policies.  An orientation programme is in place for new staff.  Ongoing education and training includes in-service education and competency assessments.</w:t>
      </w:r>
    </w:p>
    <w:p w:rsidRPr="00A4268A">
      <w:pPr>
        <w:spacing w:before="240" w:line="276" w:lineRule="auto"/>
        <w:rPr>
          <w:rFonts w:eastAsia="Calibri"/>
        </w:rPr>
      </w:pPr>
      <w:r w:rsidRPr="00A4268A">
        <w:rPr>
          <w:rFonts w:eastAsia="Calibri"/>
        </w:rPr>
        <w:t>Registered nursing cover is provided by the owner/manager and a registered nurse who provides an extra 20 hours a week. Rosters and interviews with staff, residents and family indicate that there are sufficient staff that are appropriately skilled, with flexibility of staffing around clients’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owner/manager with support from the registered nurse is responsible for the provision of care and documentation at every stage of service delivery.  Residents/relatives are involved in planning and evaluating care.  The activity coordinator implements the activity programme that meets the individual needs, preferences, and abilities of the residents.  Community links are maintained.  </w:t>
      </w:r>
    </w:p>
    <w:p w:rsidRPr="00A4268A" w:rsidP="00621629">
      <w:pPr>
        <w:spacing w:before="240" w:line="276" w:lineRule="auto"/>
        <w:rPr>
          <w:rFonts w:eastAsia="Calibri"/>
        </w:rPr>
      </w:pPr>
      <w:r w:rsidRPr="00A4268A">
        <w:rPr>
          <w:rFonts w:eastAsia="Calibri"/>
        </w:rPr>
        <w:t xml:space="preserve">Medications are managed appropriately in line with accepted guidelines.  Staff who administer medications have an annual competency assessment and receive annual education.  Medication charts are reviewed three-monthly and as required by the general practitioner.  All baking and meals are prepared and cooked on-site.  Residents' food preferences are identified at admission.  This includes consideration of any dietary preferences or needs with special meals cooked for Chinese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preventative and planned maintenance schedule in place.  Chemicals are stored safely throughout the facility.  The bedrooms, hallways and communal areas are accessible.  There are outdoor areas with shade and seating.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no residents assessed as requiring either the use of restraint or the use of an enabler.  Staff receive ongoing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Information obtained through surveillance is used to determine infection control activities, resources and education needs within the facility.  This includes audits of the facility, hand hygiene and surveillance of infection control events and infections.  There have not been any outbreaks since the last audit.   All Covid-19 precautions have been fully implemented.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1</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1</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5"/>
        <w:gridCol w:w="1280"/>
        <w:gridCol w:w="1003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about complaints is provided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five residents and two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would include complaints received, dates and actions taken.  The owner/manager would sign off each complaint when it was closed.  There have not been any complaints since the last audit. Residents and family stated that the owner/manager and other owner were extremely responsive and open to suggestions and stated that this was a highlight of the service for them.  There were no complaints since the last audit from any external agency.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risk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an incident occurs. A review of ten incident forms indicates that family are informed of an incident. Two family members interviewed commented that they are notified following a change of health status of their family member or if there had been an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Family/resident meetings provide a venue where issues can be addressed.  These are held at least twice a year with newsletters, emails and phone calls also made to family at frequent intervals. The corrective action identified at the certification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At the time of the audit, there were some residents who were limited in their ability to understand English.  Staff and family are used as interpreters in the first instance.  Interpreting services through the DHB are also available if needed.  Management promote an open-door policy. This was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must pay for that is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Fencible Manor is owned and operated by the owner/manager (registered nurse) and second owner who provides support for the service e.g. maintenance, taking residents to appointments etc.  The service can provide care for up to 19 residents.  On the day of audit there were 19 rest home residents with one using respite level of care.  All residents were under the Age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quality and business plans have been reviewed by the owner annually, and outline the purpose, values, scope and direction and goals of the organisation.  The documents described short and long-term objectives and the associated operational plans.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is a registered nurse with a current practicing certificate who has co-owned the facility since 2015.  They have eight years’ experience in aged care and are supported by a second registered nurse who has extensive experience in aged care (over 40 years) and in management of facilities. The second registered nurse also works in another aged care facility as well as providing 20 hours a week at Fencible Manor. The owner/manager and registered nurse have maintained more than eight hours annually of professional development related to their roles. An external consultant who has considerable experience in aged care provides support for the owner/manager one day a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a range of policies and procedures in place to support service delivery that have been reviewed regularly by the service and external contractor. Staff are informed of any new/reviewed policies through handovers and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staff meetings.  Meeting minutes evidence discussion around a wide range of quality data. Trends are identified and analysed for areas of improvement.  Caregivers confirmed that they are kept informed on quality data including corrective actions and quality initiatives.  Internal audits are completed as scheduled, including environmental and clinical audits.  Corrective action plans are raised, completed, and signed off for any corrective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The second owner is the health and safety coordinator and they have completed level 1 training in health and safety. When interviewed, the health and safety coordinator was able to describe their role. Health and safety is documented as discussed at monthly staff meetings.  An up-to-date hazard register is documented and reviewed each month.</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and the identification of interventions on a case-by-case basis to minimise future falls.  A falls analysis tool is used to trend time and location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actions to minimise.  Individual incident reports are completed for each incident/accident with immediate action(s) and any follow-up action required evidenced.  The service collects incident and accident data monthly and provides reports to monthly staff meetings.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from March to October 2020.  All incident forms reviewed identified a timely RN assessment of the resident, corrective actions, or recommendations and all had been completed and signed off by the RN or owner/manager.  The next of kin had been notified for all incidents/accidents.  The caregivers interviewed could discuss the incident reporting process. The owner/manager could identify situations which would be reported to statutory authorities. There have not been any incidents that should have been reported to an external authority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All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booklets.</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owner/manager is interRAI trained.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There has been low staff turnover, with  stable long term staff and very little use of bureau staff as existing staff pick up cover.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includes the owner/manager on duty Monday to Friday (40 hours), with a casual RN providing leave cover and currently working 20 hours a week. The owner/manager has recently returned from a short period of leave that included 14 days isolation (in a managed isolation facility) and a further week’s isolation at home to ensure that they were safe prior to coming back to work (self-imposed). The casual registered nurse has provided cover for the owner manager including the provision of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caregiver on each shift (morning, afternoon, and nights) with a second caregiver available at any time if required. An activities coordinator is on site from 9AM to 12PM.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on-call roster is in place, with staff reporting that good access to advice is available when needed.  Care staff reported there were adequate staff available to complete the work allocated to them.  Residents and family interviewed supported this.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in place for ensuring that all medicines-related recording and documentation meet acceptable good practice standards.  Ten medication charts were reviewed on the paper-based medication system.  All medication charts had photo identification and an allergy status.  The GP reviews the medication charts at least three-monthly.  The administration records reviewed, identified medications had been administered as prescribed.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Fencible Manor uses roll packaging for regular medication.  Medications are checked on arrival by the owner/manager or RN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is completed by the RN and medicine competent caregivers.  Medications are stored securely in the locked cupboard.  Expired medications are returned to the supplying pharmacy.  Medication competencies have been completed for staff.  There were no residents self-medicating on the day of audit.  There was documented evidence confirming medication reconciliation following entry to the service.  No vaccines are kept on site, and refrigerator and room temperatures are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Fencible Manor employs two cooks, who between them cover each day.  The kitchen staff have completed food safety certificates.  There is a four-weekly seasonal menu which has been reviewed by a dietitian in November 2018, changes had been made and it was further reviewed in December 2018.  Food, fridge, and freezer temperatures are monitored and documented daily.  The resident satisfaction survey includes food services, and the cook asks for feedback from the residents after their meal.  The residents have a nutritional profile developed on admission, which identifies dietary requirements and likes and dislikes.  This is reviewed six-monthly as part of the care plan review.  Changes to residents’ dietary needs are communicated to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Five residents interviewed stated that they were happy with the food service.  Two relatives also were complimentary of the food provided and staff commented that as there was a number of Asian residents, their likes were catered for with a number of Asian meals provided for them.  The second owner and owner/manager are currently developing the Chinese menu further with this including documentation of the menu in Mandarin/Cantonese and input from the Chinese residents who are able to contribute. The cooks are also being trained to cook Chinese style food and receive feedback and encouragement from the Chinese residents who can offer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at mealtime (lunch) evidenced staff assisting residents as required.  All perishable goods are date-labelled.  A cleaning schedule is maintained.  The food control plan is verified until December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relatives identified that the care being provided is consistent with the needs of residents. Individual cares and interventions were particularly well described in the five resident files reviewed that included management of weight loss, weight gain, wound management, activities of daily living for one resident using respite care, and frail elderly, The caregivers interviewed, stated that they have all required equipment referred in care plans and necessary to provide care.  All staff reported that there are adequate continence supplies and dressing supplies.  On the day of the audit plentiful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and two families interviewed were complimentary of care received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sighted in files sampled.  These included monitoring of weight, behaviour, pain, wound management (for one ulcer and one skin tear), and vital signs.  Interviews with the owner/manager confirmed that this information is used in care plan reviews and short-term care planning.  The owner/manager interviewed described the referral process, should they require assistance from a wound specialist or other specialists from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who is also a qualified carer.  Three hours a day are dedicated to delivering activities to residents, Monday to Friday.  There is a wide range of activities offered that reflect the resident needs with participation being voluntary.  The programme includes fortnightly visits from entertainers and a tai chi instructor (temporarily unable to visit because of Covid 19 restrictions).  A bus is hired monthly for outings.  On the day of the audit, residents were observed being actively involved with a variety of activities including one resident playing the piano. The second owner was in the middle of adding activities to an upstairs lounge that would allow residents who were cognitive to have time and space to participate in small group activities or individual quiet activities such as watching television, reading etc.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displayed in large print in communal areas and resident bedrooms.  Residents and families interviewed voiced their satisfaction for the activities programme and felt that recreational needs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activities assessment completed on entry to the service, including a complete history of past and present interests, career, family etc.  On interview, the activities coordinator was able to confirm their involvement in care planning with the owner/manager and relevant family members and/or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are evaluated by the owner/manager within three weeks of admission.  Five files were reviewed.  In three files for long term residents, the long-term care plans were evaluated at least six-monthly or earlier if there was a change in health status.  Evaluations documented progress toward goals or expected outcomes.  In two files, the six-monthly care plan evaluations were not yet due (one new resident and one was a resident using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a three-monthly review by the GP.  Changes in health status are documented and followed up.  Short-term care plans are utilised for acute changes in the residents’ condition.  These were reviewed and signed off when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22 March 2021.  There is an upstairs area that includes a lounge and some resident bedrooms. There is a lift and stairs to the downstairs floor. All residents congregated mostly in the downstairs lounge area during the day. Both floors are safe for residents including those who use mobility aids.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the outside areas which includes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confirmed there was adequate equipment.  The owner/manager and second owner oversee the maintenance and repairs.  The property maintenance schedule is in place and external contractors are used as required.  Annual calibration of clinical equipment is completed.  Electrical testing has been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front door and one other door to the driveway (not considered to be the main entrance) were not able to be easily and safety used by residents. An outdoor gate from the garden to the driveway was locked as it is not considered to be an entrance or exit however there is a risk that residents in that area and in the event of an emergency will try to get out of the garden using that exit.  All entries and exits are expected to come through the main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both the monthly staff meetings.  Trends are identified, and preventative measures put in place.  Internal audits for infection control are included in the annual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There is close liaison with the GP that advises and provides feedback/information to the service.  Systems in place are appropriate to the size and complexity of the facility. Paper hand towels are in use, hand sanitizers are throughout  the facility and staff training around hand washing has been carried 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All Covid-19 precautions have been fully implemented with sufficient PPE in place for at least two weeks should that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no residents with restraints in use and no residents with enablers (link 1.4.2.4).</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8025"/>
        <w:gridCol w:w="1403"/>
        <w:gridCol w:w="14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Negligible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interRAI trained and completes all interRAI assessments. They have been away overseas when the last six monthly interRAI were due and these have not been completed. The relieving registered nurse is not interRAI trained. Three of the three long term residents had not had interRAI assessments completed in a timely manner, however each of the three had a current interRAI in place and each had an interRAI completed a year ago. The owner/manager had planned to support the registered nurse to complete interRAI training however this had not been able to be achieved during Covid 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three interRAI assessments had not been completed for long term residents in a timely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interRAI assessments are completed for long term residents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main front door is able to be opened from the inside and out by pushing a button. The door has a gas soft door close on it that is designed so that the door closes when the person is through. The door was very heavy to open on the day of audit and closed quickly. Residents were seen to struggle to hold the door open long enough to get in with mobility aids and while they could ring a bell for assistance when on the outside, often tried to get in by themselves. There is a second door to the exterior driveway that had a pin code lock. This second door was not considered to be a main entrance. Residents who did use the second door were aware of the number to punch in however there was an extremely short time between putting the pin code in and being able to open the door. It was also reasonably high up for some residents who might have tried to use it. There is a combination lock on the gate from the garden to the driveway. Staff were very prompt in going to the door to help residents to get in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external doors to the driveway were difficult to use and one gate was locked with a combination lock.  Noting, these are not main entrances or exits.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any resident using rest home level of care is able to get in and out of the service easily and safely with independence encouraged.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Well Health Care Limited - Fencible Manor Rest Home</w:t>
    </w:r>
    <w:bookmarkEnd w:id="58"/>
    <w:r>
      <w:rPr>
        <w:rFonts w:cs="Arial"/>
        <w:sz w:val="16"/>
        <w:szCs w:val="20"/>
      </w:rPr>
      <w:tab/>
      <w:t xml:space="preserve">Date of Audit: </w:t>
    </w:r>
    <w:bookmarkStart w:id="59" w:name="AuditStartDate1"/>
    <w:r>
      <w:rPr>
        <w:rFonts w:cs="Arial"/>
        <w:sz w:val="16"/>
        <w:szCs w:val="20"/>
      </w:rPr>
      <w:t>22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