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Redroofs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Redroofs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November 2020</w:t>
      </w:r>
      <w:bookmarkEnd w:id="7"/>
      <w:r w:rsidRPr="009418D4">
        <w:rPr>
          <w:rFonts w:cs="Arial"/>
        </w:rPr>
        <w:tab/>
        <w:t xml:space="preserve">End date: </w:t>
      </w:r>
      <w:bookmarkStart w:id="8" w:name="AuditEndDate"/>
      <w:r w:rsidR="00A4268A">
        <w:rPr>
          <w:rFonts w:cs="Arial"/>
        </w:rPr>
        <w:t>27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A feasibility review is currently underway to assess the future possibility of providing hospital level care in this facility.</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Redroofs Lifecare provides rest home level care for up to fifty residents. The service is operated by Heritage Lifecare Limited (BPA) and managed by a care home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This audit has resulted in a continuous improvement rating in relation to the culture of implementing continuous quality improvement processes. Two areas requiring improvements were identified. These related to overdue interRAI reassessments and an unsafe aspect of the building. Improvements have been made to clinical related documentation, addressing the area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An organisational business plan and a service specific business plan were available and include a mission statement, values, goals, objectives and action plans. These are complemented by comprehensive quality and risk management plans linked to documented quality frameworks. Effective and informative monitoring of the services is provided to the governing body regularly. An experienced and suitably qualified person manages the facility and is supported by a clinical manager.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actively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reviews.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on public display. There have been no modifications to the building since the last audit and fire safety and emergency equipment compliance checks were up to date. Electrical equipment is tested and tagged as required and the calibration of biomedical equipment was up to date. External areas are accessible, safe and provided shade and seating.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Policies and procedures on restraint minimisation and safe practice are in place, as is related education. There were no enablers or restraints in use at the time of audit. Staff were aware that any use of enablers is to be voluntary and for the safety of the resident. Those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complaints/concerns/issues policy describes the complaint management processes, responsibilities and response timeframes and includes associated forms. All are consistent with the Right 10 of the Code of Health and Disability Services Consumers’ Rights. Information on the complaint process is provided to residents and families on admission and those interviewed knew how to do so. The care home manager is responsible for complaints management and follow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thirteen complaints have been received since September 2019 when the register commenced in an electronic format. This included timeframes for each stage, the nature of each complaint, the resolution and the level of satisfaction with the outcome. Action plans showed any required follow up and improvements have been made where possible. All registered complaints have been closed, except for one, which has been passed on to the operations manager for further follow-up. The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are kept well informed about any changes to their relative’s status and are advised in a timely manner about any incidents or accidents and outcomes of medical reviews. This was supported in residents’ records reviewed and copies of completed incident reports. Residents also confirmed they are kept updated as necessary and can ask questions at any time. Managers and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and procedure described how to access interpreter services and mangers knew where to go for local interpreter support. Although staff reported this had never been required, as English was usually residents’ first language. Cue cards have been developed and are used in combination with assistance from family members for one of the current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Heritage Lifecare Limited (HLL) (BPA) organisational business plan, which is reviewed annually. This outlines the mission, values, scope, direction and goals of the organisation, which HLL care home managers around the country have been contributing to reviewing for 2021. A Redroofs Lifecare specific business plan, which is in the process of being reviewed in consultation with the operations manager, sits alongside the organisation’s business plan. The documents described annual and longer-term objectives under each goal and included key performance indicators and associated operational plans. Due to Covid-19 and changes of managers, aspects of the plan were not able to be upheld exactly according to the action plans; however, progress updates on most areas have been documented and demonstrated clear outcomes have been achieved. A sample of monthly reports that were sent to the HLL support office were viewed and included details such as occupancy, financial performance, staffing reports, complaints, compliance, incidents/adverse events, infections, restraint use, health and safety and emerging risks. In addition, there are weekly telephone calls, some via zoom, and face to face meetings once or twice a month with the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is a registered nurse and holds relevant nursing and management qualifications at an advanced level. Although only in this role for approximately three months, this person has been in management roles both in New Zealand and overseas for more than 35 years. Responsibilities and accountabilities are defined in a job description and individual employment agreement. The care home manager confirmed knowledge of the sector, regulatory and reporting requirements and maintains currency through attendance at joint provider meetings, regular contact with the portfolio manager, maintaining relationships with aged care professional bodies, and undertaking ongoing professional development in related topics.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services manager supports the care home manager and in addition to having strong clinical qualifications this person also has extensive management experience both in New Zealand and overseas.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Southern District Health Board under the age-related residential care services agreement (ARRC) to provide respite and long-term rest home level residential care. Forty-four residents were receiving services under the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internal audit activities, a regular patient satisfaction survey, monitoring of outcomes and clinical incidents, including infections and falls, for example,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Minutes were reviewed for quality and risk management meetings, staff meetings and departmental meetings. Due to Covid-19 and changes in management, the meetings had not all occurred according to the documented schedule; however, the care home manager and the clinical services manager have been working at ensuring regular review and analysis of quality indicators are back on track. Meeting minutes confirmed related information is reported and discussed, relevant corrective actions are developed and implemented to address any shortfalls, as are action plans for quality improvement initiatives. A strength of the service is the manner in which quality improvements are being implemented in response to identifying ways of improving the lives of residents as well as for action plans following adverse events. This is occurring at a level of continuous improvement, as acknowledged in criterion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interviews, staff reported their involvement in quality and risk management activities through assisting with internal audits, keeping updated with organisational policies and procedures and reporting incidents and any concerns. Quality indicator data is collated and provided to the HLL support office. Monthly analyses of this data against key performance indicators are available. Resident and family satisfaction surveys were reportedly due in mid-2020 under the previous management team; however, as there were only six responses, the HLL support office reportedly informed there was insufficient data to analyse. The next date for HLL annual surveys is scheduled for June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for the specific topics of the surveillance audit included necessary aspects of the service and contractual requirements. Documents reviewed are based on best practice, referenced and were current. The document control system ensures a systematic and regular review process, referencing of relevant sources, approval, distribution and removal of obsolete documents. There was no evidence of non-approved or obsolete clinical related documents in use as was raised for corrective action at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described the processes for the identification, monitoring, review and reporting of risks and development of mitigation strategies. Parts of the risk management processes are completed in collaboration with the HLL operations manager, parts within the quality and risk system and individual risks for residents are reviewed in consultation with the clinical services manager. Health and safety, as per the requirements of the Health and Safety at Work Act (2015), is managed by the care home manager with support from health and safety representatives, two of whom were interviewed during staff interviews. Related issues of concern and follow-up actions are documented within health and safety meetings and quality and risk management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six weekly quality improvement and risk management meetings. The support office undertakes an analysis of incident related data against key performance indicators and this is also reported and discussed at the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described essential notification reporting requirements, including for pressure injuries. They advised there have been no notifications of significant events made to the Ministry of Health, or other authorities, since they commenced the role in September 2020. However, they did need to undertake a clinical review and investigate a section 31 notification sent to the Ministry of Health regarding the poor outcome following a resident’s fall that occurred prior to their employment. Records of this were viewed and suggested follow-up actions were specific and continue to be followed through using continuous quality improvement processes (as mentioned in the CI in criterion 1.2.3.6).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 formal application process, an interview, referee checks, police vetting and validation of qualifications. Copies of current practising certificates (APCs), for all registered health practitioners who support residents at Redroofs Lifecare are retained in a file. A sample of staff records reviewed confirmed the organisation’s policies are being consistently implemented and records are maintained. Some records including interview records, police checks and induction/orientation records in particular were not found in staff files; however, these were for staff employed under previous mangers/former facility owners.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and those who informed they had not received an orientation stated this had been rectified once the manager was informed and stated the team was supportive and always willing to assist. A checklist is a component of the orientation process, as is completion of specific competencies. A six-week and three-month interview with the care home and/or clinical service manager now occurs for all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which are scheduled on a monthly basis according to the organisation’s schedule. Records reviewed confirmed staff have had multiple opportunities to undertake a range of in-service training relevant to their role. As a number of staff were overdue for completion or review of some mandatory training topics, the managers instituted a focused system of toolbox talks and completion of self-directed learning packages to bring staff up to date and this process is now almost complete.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that determines care staff eligibility to commence or complete a New Zealand Qualification Authority education programme, which enables the requirements of the provider’s agreement with the DHB to be met. Records of where each staff person are at were viewed and included evidence that eight staff have registered for level three and others level four. The clinical services manager is the internal assessor for the programme. There is currently only one registered nurse who has and is maintaining their annual competency requirements to undertake interRAI assessments, although the clinical services manager is in the next intake and a new enrolled nurse has commenced this training. Records reviewed demonstrated the registered nurse is undertaking required training to maintain competency. Completion of annual performance appraisals was evident in staff files reviewed and the care home manager described the internal process used to update their currency if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is able to adjust staffing levels to meet the changing needs of residents, although the care home manager said there has not been any indication of significantly reduced or significantly increased occupancy or acuity to suggest there might be a need to make changes. An afterhours on call roster is in place, which includes the care home manager and the clinical services manager who alternate these duties. Both managers are registered nurses, and the other registered nurse can physically go into the facility if needed and they are not able to do so. Staff have access to a registered nurse at all times and a policy has been developed to ensure staff are aware of how to do this. Additional training has been provided to staff to ensure everyone is aware of how to access additional registered nurse advice and support and under what circumstances this is to occur. Staff interviewed informed they had been well educated about these requirements and the expectations.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are now adequate staff available to complete the work allocated to them. Residents and family interviewed supported this and expressed gratitude for their input. Observations and review of a four-week roster cycle confirmed adequate staff cover has been provided, with staff replaced by a casual staff member in any unplanned absence in all except one instance. Eight senior caregivers, the registered nurse, the enrolled nurse and both managers have a current first aid certificate (or are awaiting its issue), as do the two staff who oversee residents’ outings and activities. There is a senior caregiver or a registered nurse on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as verified in staff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and enters them into the system. All medications sighted were within current use by dates. Clinical pharmacist input is available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self-administers pro re nata (PRN) medications at the time of audit. The GP has recommended a safe amount of medication to be provided to the resident on a daily basis. Appropriate processes were in place to ensure this is managed in a safe manner and the GP has signed a document declaring the resident as competent. The medication is stored and recorded appropriately. The resident is aware of the need for safety around medication and complies with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a kitchen team and is in line with recognised nutritional guidelines for older people. The menu follows summer and winter patterns and has been reviewed by a qualified dietitian within the last two years (7 December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Dunedin City Council current until 31 July 2021. Food temperatures, including for high risk items, are monitored appropriately and recorded as part of the plan. All kitchen staff have completed relevant food handling training as evidenced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in a respectful manner. An initiative of a “Breakfast Club’ has recently been started which involves a cooked breakfast for those residents who come to the dining room for breakfast. The residents spoke enthusiastically about it when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good standard. Care staff confirmed that care was provided as outlined in the documentation and that they had opportunity to have input in the care planning process. A range of equipment and resources was available, suited to the level of care provided and in accordance with the residents’ needs such as pressure relieving devices.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qualified diversional therapist who works four days a week and an activities assistant who is undergoing diversional therapy training and works one day a week as well as her role as a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after each activity, recording residents’ engagement,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and satisfaction surveys. Residents interviewed confirmed they find the programme stimulating and enjoyable. On the day of audit, a large group of residents was observed actively engaged in an activity. A van is available to take residents on outings several times a week. Community involvement from local schools is part of the programme as is arts and crafts, newspaper reading and entertainment.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urinary tract infections and wound management. When necessary, and for unresolved problems, long term care plans are added to and updated. Residents and families/whānau interviewed provided examples of involvement in evaluation of progress and any resulting changes. Multidisciplinary meetings are held six-monthly and family have opportunity for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with an expiry date of 2 March 2021 was publicly displayed. There have been no modifications to the building since the last audit. Fire compliance safety checks and six-monthly evacuation drills are being maintained.</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An unsafe aspect of the building was identified during the audit and has been raised for corrective 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The infection prevention coordinator’s role is held by the clinical services manager (CSM) who has only been in the role three months. She reviews all reported infections, and these are documented along with treatments provided.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care home manager and the national quality manager. Data is benchmarked externally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CSM commenced the role. Policies and procedures are in place to handle an outbreak should one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Blank forms, including for a restraint register, assessment, monitoring and review processes are included.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who is currently the clinical services manager,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either a restraint or an enabler. Staff interviewed could not recall a restraint ever having been used and the last person to use bed rails as an enabler chose not to use them any more around 11 months ago.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and enabler education has been updated for all staff in October 2020. Those who did not attend were required to complete a self-directed learning package and report its completion to the clinical services manager. During interview, staff were fully aware of the difference between a restraint and an enabler and that an enabler is used voluntarily by the person for safety reasons.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5865"/>
        <w:gridCol w:w="3112"/>
        <w:gridCol w:w="19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are completed by the one interRAI trained assessor. An enrolled nurse is currently undergoing interRAI training. The interRAI assessor has only been employed in the last month and has had to complete urgent reassessments for two residents with significant health changes while making steady progress in the backlog of assessments. On the day of audit there were still assessments overdue, backdating to the beginning of October 2020. The clinical services manager confirmed steps were in place to address this issue and progress has been made on the existing backlog.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requirement for each stage of service provision to be provided within time frames that safely meet the resident’s needs is not being met. Eleven interRAI reassessments are outstanding dating back to the beginning of October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interRAI reassessments are current and completed within the required time 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physical environment minimises risk of harm, promotes safe mobility, aids independence and is appropriate to the needs of the older adults in this facility. However, during a tour of the facility a half door was found to be open and residents could walk through if they chose. On investigation, this opened directly onto a steep stairway and is the route used to go to and from the facility laundry. A slide bolt is on the other side of the half door. The laundry staff person explained it had been left open as it was not possible to carry full laundry bags down, or carry armloads of laundry up, plus manage the lock, although they did try to lock it as often as they reasonably could.</w:t>
            </w:r>
          </w:p>
          <w:p w:rsidR="00EB7645" w:rsidRPr="00BE00C7" w:rsidP="00BE00C7">
            <w:pPr>
              <w:pStyle w:val="OutcomeDescription"/>
              <w:spacing w:before="120" w:after="120"/>
              <w:rPr>
                <w:rFonts w:cs="Arial"/>
                <w:b w:val="0"/>
                <w:lang w:eastAsia="en-NZ"/>
              </w:rPr>
            </w:pPr>
            <w:r w:rsidRPr="00BE00C7">
              <w:rPr>
                <w:rFonts w:cs="Arial"/>
                <w:b w:val="0"/>
                <w:lang w:eastAsia="en-NZ"/>
              </w:rPr>
              <w:t>It was evident that when left open this door at the top of steep stairs presents a hazard to residents who have a degree of cognitive impairment, or who choose to go for a wander to have a look. Another factor of note is the health and safety risk posed to laundry staff carrying heavy laundry bags up and down the steep stairs. A long serving staff person reported that over the years discussions have previously occurred, but no solution had been found. These risks and hazards require corrective action as the consequence of any associated event could be serious.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discussed with the maintenance person and the care home manager, the maintenance person believed a short term solution was to investigate a foot operated catch and the care home manager had signs installed immediately and requested staff not fill laundry bags more than half full. Staff were informed of this requirement at handover and it was written in the staff communication book. Further discussions are to be undertaken between the care home manager and the operations manager as a priority.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half door that opens directly onto steep stairs going down to the laundry often needs to be left open; however, this poses a potential risk of harm to residents who may attempt to go down the stairs. The stairs and door also pose a health and safety hazard for laundry workers who use these facilities to transport heavy loads of laundry to and from the laundry.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Actions in relation to a half door and steep stairs that lead to the laundry are required in order to minimise the potential environmental risks of harm for residents and to address the health and safety hazards for laundry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9293"/>
        <w:gridCol w:w="18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the clinical services manager commenced their role at a time when a number of aspects of the service had declined following the Covid-19 lockdown, the resignations of two managers and a number of staff, and reduced monitoring of clinical and quality systems. One of the responses of the two new managers was to not only re-establish the required HLL quality and risk and clinical systems, but to identify, develop and implement quality improvement opportunities. With a commitment to meeting residents’ needs and preferences, a range of quality improvement initiatives were quickly developed.</w:t>
            </w:r>
          </w:p>
          <w:p w:rsidR="00EB7645" w:rsidRPr="00BE00C7" w:rsidP="00BE00C7">
            <w:pPr>
              <w:pStyle w:val="OutcomeDescription"/>
              <w:spacing w:before="120" w:after="120"/>
              <w:rPr>
                <w:rFonts w:cs="Arial"/>
                <w:b w:val="0"/>
                <w:lang w:eastAsia="en-NZ"/>
              </w:rPr>
            </w:pPr>
            <w:r w:rsidRPr="00BE00C7">
              <w:rPr>
                <w:rFonts w:cs="Arial"/>
                <w:b w:val="0"/>
                <w:lang w:eastAsia="en-NZ"/>
              </w:rPr>
              <w:t>Examples of the quality improvement initiatives included development of a residents’ council, enhancing residents’ dining experiences, increasing resident and family involvement and improving consistency of resident care. A quality action form, which included a goal, set of objectives and action plans were developed for each of these initiatives. Although it is early days, ongoing reviews, reports and evaluation processes to date confirmed development is continuing for each of these projects and continuing improvement is being demonstrated. An elected residents’ council was established, and the elected president has written an evaluation of the process to date. Their function now includes a range of roles including visiting other residents in the public hospital and welcoming new residents. Written feedback from residents through the council is requesting specific ideas, such as asking for improved bed-making. More family members are now actively involved, families meet two-monthly, are part of an email group and have their own notice board. Feedback and evaluation from these initiatives was in several different meeting minutes sighted, in a summary on the action forms and the manager’s evaluation notes include the increased numbers, expressions of dissatisfaction if someone thinks they have missed something and additional support for residents for events. The enhanced dining experience has seen a dining committee, a sub-group of the residents’ council, be developed. New dining tables, use of table clothes, formalising of meals, and development of a breakfast club which has seen more residents go to the dining room for special surprise breakfasts of croissants, crumpets or eggs, for example. Evaluation has not only included positive feedback in residents’ meetings but a steady increase in residents getting up for breakfast and the residents adding more and more ideas to the action plans for enhancing residents’ dining experiences. Meeting minutes, staff feedback and a manager’s evaluation have reported positive outcomes from the project around systems in place that are improving the consistency of staffing for residents. Improved care, not having to tell staff every day what needs are, reduced staff absenteeism and better reporting back to the clinical services manager were reported, although are currently still subjective.</w:t>
            </w:r>
          </w:p>
          <w:p w:rsidR="00EB7645" w:rsidRPr="00BE00C7" w:rsidP="00BE00C7">
            <w:pPr>
              <w:pStyle w:val="OutcomeDescription"/>
              <w:spacing w:before="120" w:after="120"/>
              <w:rPr>
                <w:rFonts w:cs="Arial"/>
                <w:b w:val="0"/>
                <w:lang w:eastAsia="en-NZ"/>
              </w:rPr>
            </w:pPr>
            <w:r w:rsidRPr="00BE00C7">
              <w:rPr>
                <w:rFonts w:cs="Arial"/>
                <w:b w:val="0"/>
                <w:lang w:eastAsia="en-NZ"/>
              </w:rPr>
              <w:t>This culture of continuous improvement was also evident in response to an adverse event, which occurred prior to the employment of the current managers. Following the required investigation, continuous improvements are being implemented to ensure the incidence of falls is minimised, all staff know when to contact a registered nurse when there are none on duty and that management of ‘as necessary’ medicines and use of neurological observations are undertaken according to documented guidelines. Ongoing evaluation of the effectiveness of these strategies is occurring.</w:t>
            </w:r>
          </w:p>
          <w:p w:rsidR="00EB7645" w:rsidRPr="00BE00C7" w:rsidP="00BE00C7">
            <w:pPr>
              <w:pStyle w:val="OutcomeDescription"/>
              <w:spacing w:before="120" w:after="120"/>
              <w:rPr>
                <w:rFonts w:cs="Arial"/>
                <w:b w:val="0"/>
                <w:lang w:eastAsia="en-NZ"/>
              </w:rPr>
            </w:pPr>
            <w:r w:rsidRPr="00BE00C7">
              <w:rPr>
                <w:rFonts w:cs="Arial"/>
                <w:b w:val="0"/>
                <w:lang w:eastAsia="en-NZ"/>
              </w:rPr>
              <w:t>Each project is worthy of a continuous improvement rating in its own right; however, the auditors supported encouraging the service provider to develop on these positive early results and to ensure such good initiatives were sustainable, therefore have placed this culture of continuous improvement that has emerged under one criterion meantime.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recent months, a culture of quality improvement has emerged following the development and implementation of a range of continuous quality improvement initiatives and responses to an adverse event. All have varied feedback, evaluation and review processes attached to them and the information to date is being used to improve and develop the different initiatives further. The processes in use are consistently using continuous improvement frameworks.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Redroofs Rest Home</w:t>
    </w:r>
    <w:bookmarkEnd w:id="58"/>
    <w:r>
      <w:rPr>
        <w:rFonts w:cs="Arial"/>
        <w:sz w:val="16"/>
        <w:szCs w:val="20"/>
      </w:rPr>
      <w:tab/>
      <w:t xml:space="preserve">Date of Audit: </w:t>
    </w:r>
    <w:bookmarkStart w:id="59" w:name="AuditStartDate1"/>
    <w:r>
      <w:rPr>
        <w:rFonts w:cs="Arial"/>
        <w:sz w:val="16"/>
        <w:szCs w:val="20"/>
      </w:rPr>
      <w:t>27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