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Hardwill Group Limited - The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Hardwill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Residential disability services - Psychiatric; Residential disability services – Sensory</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November 2020</w:t>
      </w:r>
      <w:bookmarkEnd w:id="7"/>
      <w:r w:rsidRPr="009418D4">
        <w:rPr>
          <w:rFonts w:cs="Arial"/>
        </w:rPr>
        <w:tab/>
        <w:t xml:space="preserve">End date: </w:t>
      </w:r>
      <w:bookmarkStart w:id="8" w:name="AuditEndDate"/>
      <w:r w:rsidR="00A4268A">
        <w:rPr>
          <w:rFonts w:cs="Arial"/>
        </w:rPr>
        <w:t>12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proposed building of an 84-bed complex on adjoining land has not yet commenced. A request for six additional dual rest home and hospital beds to replace six of the current rest home beds had been made through HealthCERT. Review of the suitability of rooms for this purpose was undertaken during this audit. Five additional rooms only are considered suitable as detailed in outcome 1.4, in particular criteria 1.4.3.1 and 1.4.4.1.</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Lodge is a facility on the outskirts of Tauranga that is operated by the Hardwill Group Limited. Rest home and hospital level care is available for up to thirty-one residents who are on a range of different contracts. One additional room has been added since the last audit and one other modified with an ensuite added. A further five beds have been assessed as suitable for use by hospital care residents, therefore bringing the total number of dual-purpose beds to twelve, one of which is deemed to be ‘medical’. The service is managed co-operatively by a manager and a registered nurse manager.  Residents informed they enjoy living at The Lodge and family members were positive about the overall level of care provided.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Bay of Plenty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This audit has resulted in one identified area for improvement relating to interRAI assessments.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Consumers’ Rights (the Code) and these are respected. Services provided support personal privacy, independence, individuality and dignity. Staff interacted with residents in a respectful manner.</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residents and family/whanau are provided with appropriate information to assist them to make informed choices on behalf of the residents. </w:t>
      </w:r>
    </w:p>
    <w:p w:rsidRPr="00A4268A">
      <w:pPr>
        <w:spacing w:before="240" w:line="276" w:lineRule="auto"/>
        <w:rPr>
          <w:rFonts w:eastAsia="Calibri"/>
        </w:rPr>
      </w:pPr>
      <w:r w:rsidRPr="00A4268A">
        <w:rPr>
          <w:rFonts w:eastAsia="Calibri"/>
        </w:rPr>
        <w:t>The residents' cultural, spiritual and individual values and beliefs are assessed and acknowledged. There was no evidence of abuse, neglect or discrimination. 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Residents and family members interviewed spoke very positively about the comfortable, relaxed environment and the care and support provided.</w:t>
      </w:r>
    </w:p>
    <w:p w:rsidRPr="00A4268A">
      <w:pPr>
        <w:spacing w:before="240" w:line="276" w:lineRule="auto"/>
        <w:rPr>
          <w:rFonts w:eastAsia="Calibri"/>
        </w:rPr>
      </w:pPr>
      <w:r w:rsidRPr="00A4268A">
        <w:rPr>
          <w:rFonts w:eastAsia="Calibri"/>
        </w:rPr>
        <w:t>Residents are informed about how to make a complaint and are encouraged to express any dissatisfaction at regular residents’ meetings. A complaints register is maintained with evidence that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In addition to receiving formal reports on a regular basis, the director has ongoing contact with the managers and meets with them formally on a monthly basis. Both the manager and the registered nurse manager are suitably qualified to manage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There is a systematic approach to identify and deliver a variety of ongoing training for staff, which enables them to maintain their skills and knowledge. An annual individual performance reviews is completed with each staff person.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Services at The Lodge are provided in a manner that promotes continuity in service delivery and a team approach to care delivery. All processes for assessment, planning, provision, evaluation, review and exit are provided and completed by suitably qualified personnel. Individualised care plans are completed. When there are changes to the resident’s needs, a short-term plan is developed and integrated into a long-term care plan, as needed.</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Residents and family/whanau expressed satisfaction with the activities programme in place.</w:t>
      </w:r>
    </w:p>
    <w:p w:rsidRPr="00A4268A" w:rsidP="00621629">
      <w:pPr>
        <w:spacing w:before="240" w:line="276" w:lineRule="auto"/>
        <w:rPr>
          <w:rFonts w:eastAsia="Calibri"/>
        </w:rPr>
      </w:pPr>
      <w:r w:rsidRPr="00A4268A">
        <w:rPr>
          <w:rFonts w:eastAsia="Calibri"/>
        </w:rPr>
        <w:t>There was a safe electronic medicine management system in use. The medicine administration system was observed at the time of audit. Staff competency assessments are maintained. The general practitioner (GP) and nurse practitioner (NP) complete three-monthly reviews or more frequently as needed.</w:t>
      </w:r>
    </w:p>
    <w:p w:rsidRPr="00A4268A" w:rsidP="00621629">
      <w:pPr>
        <w:spacing w:before="240" w:line="276" w:lineRule="auto"/>
        <w:rPr>
          <w:rFonts w:eastAsia="Calibri"/>
        </w:rPr>
      </w:pPr>
      <w:r w:rsidRPr="00A4268A">
        <w:rPr>
          <w:rFonts w:eastAsia="Calibri"/>
        </w:rPr>
        <w:t>Food services meet the preferences of residents and special diets are catered for. There is a food control plan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is an older style building, which has a current building warrant of fitness on display. Maintenance is occurring according to a schedule and repairs are being completed as needed. Electrical equipment is tested, hot water temperature checks undertaken, and medical equipment calibrated as required. Communal and individual spaces are available both inside and outside. External areas are easily accessible and provide a range of environmental options, shade and seating.  </w:t>
      </w:r>
    </w:p>
    <w:p w:rsidRPr="00A4268A">
      <w:pPr>
        <w:spacing w:before="240" w:line="276" w:lineRule="auto"/>
        <w:rPr>
          <w:rFonts w:eastAsia="Calibri"/>
        </w:rPr>
      </w:pPr>
      <w:r w:rsidRPr="00A4268A">
        <w:rPr>
          <w:rFonts w:eastAsia="Calibri"/>
        </w:rPr>
        <w:t xml:space="preserve">Waste and hazardous substances are managed according to requirements. Staff use protective equipment and clothing. Chemicals, soiled linen and equipment are safely handled and stored appropriately. Laundry is undertaken onsite and evaluated for effectiveness through the internal audit system. Daily cleaning schedules are upheld. </w:t>
      </w:r>
    </w:p>
    <w:p w:rsidRPr="00A4268A">
      <w:pPr>
        <w:spacing w:before="240" w:line="276" w:lineRule="auto"/>
        <w:rPr>
          <w:rFonts w:eastAsia="Calibri"/>
        </w:rPr>
      </w:pPr>
      <w:r w:rsidRPr="00A4268A">
        <w:rPr>
          <w:rFonts w:eastAsia="Calibri"/>
        </w:rPr>
        <w:t>Staff are trained in emergency procedures and use of emergency equipment and supplies. Regular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access to policies and procedures that support the minimisation of restraint and describe assessment, approval, monitoring and review processes should one be used. No enablers were in use at the time of audit. One person was using an enabler and its use was described as infrequent, voluntary and for the safety of resident who chooses when to use it. Staff demonstrated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management system minimises the risk of infection to residents, visitors and other service providers. Two registered nurses (RN managers) share the infection coordinator role. Documentation sighted evidenced that relevant infection control education is provided to staff. </w:t>
      </w:r>
    </w:p>
    <w:p w:rsidRPr="00A4268A">
      <w:pPr>
        <w:spacing w:before="240" w:line="276" w:lineRule="auto"/>
        <w:rPr>
          <w:rFonts w:eastAsia="Calibri"/>
        </w:rPr>
      </w:pPr>
      <w:r w:rsidRPr="00A4268A">
        <w:rPr>
          <w:rFonts w:eastAsia="Calibri"/>
        </w:rPr>
        <w:t>Infection data is collated monthly, analysed and reported during staff meetings. 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5"/>
        <w:gridCol w:w="1280"/>
        <w:gridCol w:w="98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Lodge has policies and procedures to meet their obligation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is provided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sampled showed that informed consent has been gained appropriately using the organisation’s standard consent form. These were signed by the enduring power of attorney (EPOA) or residents and the general practitioner or nurse practitioner make clinically based decision on resuscitation authorisation if required. Staff were observed to gain consent for day to 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and residents interviewed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visitors of their choice visit regularly. Access to the community and other mainstream supports is encouraged for all residents including young people with disability. The facility has unrestricted visiting hours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and describe the purpose and use of the complaint register. Information on the complaint process is provided to residents and families on admission and those interviewed knew how to do so.  Staff are trained in complaint management during their orientation and those interviewed knew to transfer verbal complaints onto a complaint form, or to go direct to a registered nurse or manager. A complaints flow chart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eight complaints had been received since mid-May 2018, five of which were behaviour related. Complaints about one specific resident were recorded elsewhere and managed separately. Actions taken, through to an agreed resolution, are planned, documented and completed within the timeframes. Improvements have been made wherever possible. The manager and registered nurse manager are co-operatively responsible for complaints management and follow up, although include the director in discussions when relevant.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consumer rights legislation, advocacy services and the complaints process are provided on admission and displayed at the reception. The Code is available in Maori and English. Family members and residents interviewed were aware of consumers’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outlines the services provided. Resident agreements signed either by the resident or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Young people with disabilities are encouraged to maintain their personal, gender, sexual, cultural, religious and spiritual identity. This was confirmed in interviews conducted.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were respected. Staff were observed maintaining privacy. Residents are supported to maintain their independence with residents assessed as rest home level of care, hospital level of care and young people with disabilities able to move freely into the surrounding areas and in and out of the facility with no restrictions. Records sampled confirmed that each resident’s individual cultural values, religious beliefs and social needs,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RN/Manager (RN/M) and GP reported that any allegations of neglect if reported would be taken seriously and immediately followed up. There were no documented incidents of abuse or neglect in the records sampled. Family/whanau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were documented. Policies refer to the Treaty of Waitangi and partnership principles. The Maori Health plan includes a commitment to the principles of the Treaty of Waitangi and identified barriers to access. It also recognised the importance of whanau. Assessments and care plans documented any cultural/spiritual needs. Special consideration of cultural needs is provided in the event of death as outlined in the policy. The required activities and blessings are conducted when and as required. The menu caters for cultural needs as required. Staff have received cultural awareness training. There was one resident and five staff members who identified as Maori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at the Lodge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members and residents interviewed confirmed they were encouraged to be involved in the development of the long-term care plans. Residents’ personal preferences and special needs were included in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this was confirmed by the residents.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RN/M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The general practitioner (GP) confirmed the service sought prompt and appropriate medical intervention when required and were responsive to medical requests. Staff reported they receive management support for external education and access their own professional networks to support contemporary good practice. They complete webinar online training, attend to registered nurses study days offered by the local district health board. Four health care assistants had completed training in mental health and addiction services.  Policies and procedures are linked to evidence-based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if required. Staff can provide interpretation as and when needed and the use of family members and communication cards is encouraged. Strategies to promote effective communication with residents with physical and intellectual disability were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Lodge is operated by the Hardwill Group, which was established in 2016 prior to the purchase of the facility. A 2020-2021 business plan outlines the scope, mission, philosophy, goals and objectives of the organisation. Key words within the mission and philosophy are about providing quality care, striving for improvements, building relationships and having a management team that is committed to developing a working environment based on trust, respect, cooperation and teamwork. Goals and objectives sit under key headings of consumer focus (aged care, chronic health conditions, young people with disabilities and mental health) for provision of effective programmes, meeting certification and contractual requirements, quality and risk management and continuous improvement. Action plans are time-framed and include allocated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directors in the Hardwill Group and one of these meets the managers once a month. Records of these form reports that are shared with the other directors. A sample of the monthly records to the board of directors/owners showed adequate information to monitor performance is reported including financial performance, emerging risks and significant resident and/or staff issues. Full management meetings occur every three months and quality and risk management is a component of these.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manager who has served the organisation for over 15 years. Approximately two months ago a registered nurse manager was employed, and the two managers are now sharing the management responsibilities. Both managers are registered nurses with relevant management experience within the aged care sector. Responsibilities and accountabilities are defined in separate job descriptions and individual employment agreements.  The manager and the registered nurse manager confirmed knowledge of the sector, regulatory and reporting requirements and they maintain currency through ongoing attendance at in-service education and at New Zealand Aged Care Association meetings, involvement in a leadership forum and one has completed the e-learning modules for retirement villages.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Aged Related Residential Care Agreements with the Bay of Plenty district health board (DHB) to provide rest home level care (currently nine residents) and hospital level care (currently four residents). Eight people receive care and support under long term support – chronic health conditions contracts with the DHB and seven people receive Ministry of Health funding under Young Persons with Lifelong Disabilities (YPD) contracts (three hospital and four rest home level). One person is funded via the Accident Compensation Corporation (ACC) and another person is on a special DHB package of care funding for mental health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the registered nurse manager are in the position to relieve one another when either is absent as they share the duties and responsibilities for management of The Lodge including sharing on-call roles. There is reportedly no likelihood of both managers being on any planned absence at the same time. Meeting and reporting arrangements with governance are able to be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both managers are registered nurses, one is also able to relieve the other for on-call clinical support for the team of registered nurses. Staff reported confidence in the current management and clinical teams and confirmed that the young people with disabilities are well supported, including from the director.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Lodge Quality Plan includes a list of quality activities and goals with detailed steps of ways each will be achieved, who will be responsible and the timeframe for each step. Quality activities listed include health and safety, quality systems, food safety, diversional therapy, staff education, emergency management, care planning, infection control and market emphasis for The Lodge. The planned quality and risk system reflects the principles of continuous quality improvement and includes incident reporting, complaints management, health and safety management, internal audit activities, an annual resident satisfaction survey and monitoring of clinical incidents including infections and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Three sets of both management meeting minutes and staff meeting minutes were reviewed and confirmed regular review and analysis of the listed quality indicators is occurring and that related information is reported and discussed. Staff reported their involvement in quality and risk management activities through actively contributing to these meetings. Relevant corrective actions are developed and implemented to address any identified shortfalls, especially from incidents, complaints and internal audit processes. Resident and family satisfaction surveys are completed annually. The most recent survey showed high levels of satisfaction overall with suggestions for improvement related to the time of evening meals, night checks and management of incidents. The young people with disabilities were especially open in their responses and each suggestion has been personally followed up by the managers in consultation with one of the directors. Regular residents’ meetings chaired by one of the residents, who is a young person with a disability, are occurring and are minuted. Issues of concern are discussed between the young person and one of the managers.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necessary aspects of the service and contractual requirements, including reference to the interRAI Long Term Care Facility (LTCF) assessment tool and process and needs of young people with disabilities.  Policies are based on best practice and are current. The document control system ensures a systematic and regular review process, referencing of relevant sources, approval, distribution and removal of obsolete documents. A policy and procedure on document control lists the various manuals available and describes how the issue of new documents and removal of obsolete documents is managed. A document control flow chart describes the full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There is a risk management matrix which is monitored within the quality system, as is the hazard register. Contents of a comprehensive health and safety manual are implemented by the manager who is familiar with the Health and Safety at Work Act (2015).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staff and management meetings. An annual summary of the analysis of data related to adverse events 2019 – 2020 was reviewed. This included graphs of types of incidents, time of day and contracts. Data from one person was not included in the incident/accident data as this was recorded separately in the resident’s personal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managers described essential notification reporting requirements, including for pressure injuries.  They advised there have been no notifications of significant events made to the Ministry of Health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an initial interview, referee checks, police vetting and validation of qualifications.  A sample of staff records reviewed confirmed the organisation’s policies are being implemented and records are maintained; however, a number of staff have been at the facility for some years and records were not always available in those staff files. Records of current annual practising certificates (APCs) for all health professionals attending residents including registered nurse, GP, a nurse practitioner and a podiatrist confirmed currency of their annual practising certificates. The dietitian’s APC expired in March 2020; however, this person has since retired, and the menu is still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is consistent with the induction and orientation policy and procedure. The process includes review of all necessary components and competencies relevant to the role. Staff reported during interviews that the orientation process and health and safety induction prepares new staff well for their role. They also noted that the timeframe during which they are buddied with an experienced staff member may be lengthened depending on previous experience. Staff records reviewed show documentation of completed orientation checklists and evidence of an interview with the manager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according to a two-yearly programme that includes mandatory training requirements. The training schedule has been altered to accommodate the challenges related to the Covid-19 pandemic requirements; however other creative approaches including YouTube and on-line courses are now being used to complement the monthly in-service sessions. Additional topics specifically cover the needs and interests of the young people with information on specific diagnoses including multiple sclerosis and Parkinson’s disease as well as on meeting specific personal goals. Non-attendance at mandatory in-service training is followed up by the manager who requires the person(s) to complete one-on-one updates. The majority of care staff have completed or commenced a New Zealand Qualification Authority education programme to meet the requirements of the provider’s agreement with the DHB. A manager is an internal assessor for the programme.  Three of the six registered nurses are maintaining their annual competency requirements to undertake interRAI assessments and a fourth is about to commence the training.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Although an acuity tool is not used, the managers described how staffing levels are adjusted to meet the changing needs of residents, such as in the event of an infection. Registered nurses liaise with managers when additional staff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on-call roster is in place for the two managers who cover 24 hours at a time. Care staff confirmed there is always sufficient senior staff available for support and advice when needed and that there are adequate staff available to complete the work allocated to them.  Residents interviewed are satisfied with the staff who assist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is being provided, with staff replaced by a causal, or a part-time staff person in any unplanned absence.  All registered nurses and the managers have a current first aid certificate; therefore there is always at least one staff member on duty who has a current first aid certificate. Rosters sighted confirmed there is 24//7registered nurse coverage to ensure contractual requirements are met for the hospital level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register is maintained of all current and past residents. Residents’ individual information is kept in paper and electronic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the GP and allied health service provider notes. Written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assessments are completed by suitably qualified personnel prior to entry. The assessment documents are a pre-requisite before admission. Assessments confirming appropriate level of care and placement authorisation were completed. RN managers will go and assess the prospective client prior to admission to ascertain suitability to the service. The Lodge’s welcome pack contains all the information about entry to the service and this is clearly communicated to the residents, family/whanau where appropriate, local communities and referral agencies.  Family/whanau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form from the DHB is utilised when residents are required to be transferred to the public hospital or another service. Residents and their families were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policy on the management of the medication system. All medication entries sampled confirmed that they were reviewed as required. Allergies were documented, identification photos were present and three-monthly reviews were completed. The RN was observed administering medication correctly.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reconciliation is conducted by the RNs when a resident is transferred back to the service from hospital, for new admission or when there are any medication changes. The service uses pharmacy pre-packed packs that are checked by the RNs on delivery. </w:t>
            </w:r>
          </w:p>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was current and correct. Weekly and six-monthly stock takes were conducted, and all medications were stored appropriately. Medication audits were conducted, and corrective actions have been acted on. Monitoring of medication fridge and room temperature was conducted.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and there is a policy and procedure for self-administration of medication if required. Self- administration of medicines is encouraged for YPD residents who wish to do so if appropriate.</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The medicines management system complies with legislation, protocols,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food preferences were assessed on admission to identify dietary requirements, likes and dislikes and was communicated to the kitchen including any recent changes made. Diets are modified as required and the cook confirmed awareness of dietary needs of the residents. Meals were served warm in sizeable portions required by residents and any alternatives were offered as required. The residents’ weights were monitored monthly and supplements were provided to residents with identified weight loss issues. Snacks and drinks were available for residents as and when required. The family members and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There was an approved food plan for the service. Meals are prepared on site and served in the allocated dining rooms. The menu was reviewed in March 2020 by a registered dietitian to confirm it was appropriate to the nutritional needs of the residents. There is a four-weekly rotating winter and summer menu in place. There is one resident who prepares their own meal daily in the kitchen and has been taught on food handling and is constantly supervised by the cook.</w:t>
            </w:r>
          </w:p>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safety/hygiene. The kitchen and pantry were clean, tidy, and well stocked. Labels and dates were on all containers and records of food temperature monitoring, fridges and freezers temperatures were maintained. Regular cleaning was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RN/M reported that all residents who are declined entry are noted. When a resident is declined entry, family/whanau and the resident are informed of the reason for this and made aware of other options or alternative services available. The resident is referred to the referral agency to ensure that they will be admitted to the appropriate service provider.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a person proving unsuitable for the service, the contract gives the service provider an option to serve an eviction notice. There was evidence in documentation viewed and during interviews with the managers that a person with challenging behaviours was causing disruption and presenting a risk to other residents. This person had been served an eviction notice more than one month previously as The Lodge was no longer considered to be an appropriate place for this resident. Efforts by the service provider to explore other options, including other service providers and social housing units, had not been successful and the service provider was reluctant to formally evict without ensuring the person had adequate ongoing support. Email evidence confirmed other relevant authorities were kept updated and a one on one support person was instituted on day one of the audit. The eviction notice had since expired. As the risk to other residents remained high and management of the person had become increasingly problematic, a high-risk corrective action was raised during the audit, and the Ministry of Health (HealthCERT) was advised accordingly.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situation was resolved due to action taken by the DHB whilst the audit team was on site. Around mid-day on day two of the audit, the person was transferred to another service provider. This process was respectful, the person involved was taken to visit the prospective provider and they were happy with the decision. These actions taken during the audit removed the associated risks to the remaining residents and the corrective action was considered to be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had their level of care identified through needs assessment by the assessment agency from the local district health board.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interRAI assessments are completed in a timely manner and are aligned to long term care plans and activities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 the care plan and assist in identifying the required support to meet residents’ goals and desired outcomes. The care plans sampled were resident focused and individualised. Short term care plans were used for short-term needs. Family/whanau and residents interviewed confirmed they were involved in the care planning process. Residents’ files demonstrated service integration and evidence of allied healthcare professionals involved in the care of the resident such as the mental health services for older people, disability services, district nurses, physiotherapist, podiatrist, dietitian, NP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were adequate to address the identified needs in the care plans. Significant changes were reported in a timely manner and prescribed orders carried out satisfactorily as confirmed by the GP. The GP reported that medical input was sought in a timely manner that medical orders are followed, and care is person centred. Care staff confirmed that care was provided as outlined in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Lodge has an activity programme in place that covers rest home, hospital and YPD residents. The diversional therapist (DT) reported that the service uses an online Golden Carers programme which informs each resident’s activities programme and planning. Activity plans were reviewed at least six monthly or when there is any significant change in participation, and this is conducted in consultation with the nursing team, however these were not being evaluated at the same time with interRAI assessments (Refer 1.3.4.2). Over the course of the audit, residents were actively involved in a variety of activities. Activities were modified according to abilities and cognitive function. The activities vary from scrabble, bingo, music, movies, exercises/walking, and church services every weekend. External activities included life skills and health, personal development, self-help recovery focussed programmes especially for those with intellectual and physical disabilities. The DT reported that group activities and one on one activities with some residents were held.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and community connections are suitable for the residents. There were regular outings/drives, for all residents (as appropriate). Residents and family members interviewed reported that a variety of activities were provided including regular outings/drives.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and care staff completed progress notes on every shift. All noted changes by the care staff were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interRAI reassessments to measure the degree of a resident’s response in relation to desired outcomes and goals, occur every six months or as a resident’s needs change. Long-term care plans and activities plans were not reviewed along with interRAI assessments (refer 1.3.4.2). Evaluation/reviews were carried out by the RNs in conjunction with family, GP, NP, and specialist service providers. Where progress was different from expected, the service was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were reviewed weekly or as indicated by the degree of risk noted during the assessment process. Interviews verified residents and family/whanau were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where required. If the need for other non-urgent services are indicated or requested, the GP, NP and the nursing team sends a referral to seek specialist services assistance from the district health board (DHB).  Referrals are followed up on a regular basis by the registered nurses, NP, or the GP. The resident and the family were kept informed of the referral process, as verified by documentation and interviews. Acute or urgent referrals were attended to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Waste removal is undertaken by contractors and includes the removal of recyclables.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The mitigation of risks associated with waste and hazardous substances is included in the hazard register.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and some staff were observed using this. The managers include the use of personal protective equipment during new staff orientation and in infection prevention and control updates and informed they proactively encourage staff to use 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29 June 2021 was obtained during the audit and is now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are current as confirmed in documentation reviewed, interviews with maintenance personnel and observation of the environment. Hot water temperatures in a random sample of residents’ rooms and communal areas are checked monthly and are safe. Efforts are made to ensure the environment is hazard free, that residents are safe, and independence is promoted. Residents on the contract for young people with disabilities have their personal equipment of hoists and wheelchairs maintained as required with individualised adjustments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extensive with a range of different settings varying from bush, to orchards and gazebos. All are being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knew who to talk to and the processes they should follow if any repairs or maintenance are required. A record of maintenance requests confirmed these are appropriately actioned. The residents enjoy their environment and do not want to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bathroom and toilet facilities throughout the facility. This includes six stand-alone toilet, one stand-alone shower and four combined toilets and showers. Two people have their own ensuite and there is one shared ensuite between two rooms. Hospital level care residents have access to toilets and bathrooms that are wheelchair accessible. Over half of the residents’ rooms now have a hand basin and efforts to increase this number are ongoing.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Rooms are personalised with furnishings, photos and other personal items displayed. Bedrooms are of varying sizes and all bedrooms provide single accommodation. Most are allocated according to resident’s needs with larger rooms given to hospital level care residents. One of the younger residents has chosen to remain in a smaller room that they had prior to needing hospital level care and staff confirmed this is working out well. Another hospital level care younger person with a disability is in a large room of their choice, which has an ensuite; however, the hallway leading to the room is narrow and this level of care could not normally be satisfactorily provided in the room. In this instance the person is still mobile, and it is not a problem.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a request from the Ministry of Health for a partial provisional audit regarding a request to reconfigure the services by adding six more hospital beds. All bedrooms on one end of the ground floor where larger bathrooms are available were examined by using a wheelchair and checked for use of a hoist. Five more rooms, in addition to the previously approved six hospital beds and one medical bed, could be used for hospital level care residents on the proviso some of the furniture, such as larger chests of drawers are removed. There would still be sufficient storage area for residents’ belongings. The owner/director was clear that these rooms are wanted to enable current residents to remain at The Lodge when their health deteriorates, especially as placement elsewhere could be a challenge. A sixth suitable room could not be found.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and wheelchairs, as required, in residents’ rooms. Staff reported that although extra room makes it easier to negotiate equipment around, they are managing to do this even in the smaller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There is a downstairs dining and sitting room, and a separate lounge and small activity room. A small to medium dining and sitting area with a pool table nearby is on a mezzanine style level accessible from the ground floor via a ramp. A large spacious lounge upstairs is only accessible by stairs. Many residents are mobile and are able to manage the changes in levels throughout the facility; otherwise there is sufficient room downstairs for people to move around, including with mobility aids. Residents can go to their room for privacy, if required, or they may use one of several small sitting areas around the facility. Furniture is appropriate to the setting and residents’ needs. There are areas around the building where any resident may go for privacy, including the young people with disabilities, although some said they just like to go to their room, or outside such as in the courtyard.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by care staff on various shifts, some of whom have allocated laundry hours to ensure the laundry is done in a timely manner. The staff interviewed demonstrated a sound knowledge of the laundry processes, dirty/clean flow and handling of soiled linen. Residents interviewed informed they had no concerns about the laundering of their clothes.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person from the company that supplies the household cleaners goes on site to The Lodge every month in addition to providing staff with six monthly training sessions on chemical use and safety. This was confirmed during a staff interview and was evident in staff and training records. Chemicals were stored in a lockable cupboard and were in appropriately labelled containers. Material safety data sheets were near the relevant products and a hazard monitoring checklist for the laundry was dated October 2020. The housekeeper described processes, including the use of different colour clothes for different purposes.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These include meeting the needs of all residents on any contract. The current fire evacuation plan was approved by the New Zealand Fire Service on the 27 November 2017. A trial evacuation takes place six-monthly with a copy sent to the New Zealand Fire Service, the most recent being on 20 September 2020.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and gas BBQ’s were sighted. On initial inspection it was found that some expiry dates on food in the lower shelves of the emergency food stocks went as far back as 2004. The items were changed over immediately with items from the kitchen pantry and the pantry subsequently restocked during the audit. The stocks available meet the Ministry of Civil Defence and Emergency Management recommendations for the region. Water storage tanks are located around the complex, and they have access to an on-site spring. Emergency lighting is regularly tested, and additional blankets are available if required.</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alert staff about residents requiring assistance.  Call system audits are completed on a regular basis and residents reported staff respond promptly to call bells. This was confirmed in observations made during the audit, with senior staff also being responsive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 and manager informed there had never been any security breaches. Appropriate security arrangements are in place with doors and windows locked at a predetermined time at night. At the afternoon to night shift changeover, staff do a joint security check and sign this off.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have external windows that can be opened for ventilation. There is good natural light in residents’ rooms and most of their rooms, including those upstairs, have a door that opens onto a patio, or a balcony. A fan in the dining room is used to improve humid conditions in summer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Individually adjustable electric heating units and panel heaters are wall mounted in residents’ rooms, the hallways and the communal areas. Residents reported the facilities are maintained at a comfortable temperature and that if they are cold, they can either turn the heat up, or ask for this to be done for them. There was no evidence of any areas being cold and damp, and nor were there any reports of such issues, even when residents were specifically asked.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Lodge has implemented an infection prevention and control programme to minimise the risk of infection to residents, staff, and visitors. The programme is guided by a current infection control manual, with input from external specialists. The infection control programme is reviewed annually and was incorporated in the monthly meetings and a review of the education programme is conducted.</w:t>
            </w:r>
          </w:p>
          <w:p w:rsidR="00EB7645" w:rsidRPr="00BE00C7" w:rsidP="00BE00C7">
            <w:pPr>
              <w:pStyle w:val="OutcomeDescription"/>
              <w:spacing w:before="120" w:after="120"/>
              <w:rPr>
                <w:rFonts w:cs="Arial"/>
                <w:b w:val="0"/>
                <w:lang w:eastAsia="en-NZ"/>
              </w:rPr>
            </w:pPr>
            <w:r w:rsidRPr="00BE00C7">
              <w:rPr>
                <w:rFonts w:cs="Arial"/>
                <w:b w:val="0"/>
                <w:lang w:eastAsia="en-NZ"/>
              </w:rPr>
              <w:t>The RN managers share the role of the designated infection prevention and control coordinator (ICC). Role and responsibilities were defined in their job descriptions. Infection control matters, including surveillance results were reported three-monthly to the director and to the three-monthly staff and management meetings. Residents were updated monthly during their residents’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on how long they must be away from work if they have been unwell. Staff interviewed understood these responsibilities. Vaccination is encouraged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information that covers aspects of infection control for family/whanau and if they are unwell; it is recommended that they do not visit the service. During higher risk times of community infections and winter months, notices are placed at the door to remind people not to visit if they are unwell. There is sanitising hand gel at the entrance and throughout the service. Hand washing facilities and sanitiser dispensers are readily available around the facility.</w:t>
            </w:r>
          </w:p>
          <w:p w:rsidR="00EB7645" w:rsidRPr="00BE00C7" w:rsidP="00BE00C7">
            <w:pPr>
              <w:pStyle w:val="OutcomeDescription"/>
              <w:spacing w:before="120" w:after="120"/>
              <w:rPr>
                <w:rFonts w:cs="Arial"/>
                <w:b w:val="0"/>
                <w:lang w:eastAsia="en-NZ"/>
              </w:rPr>
            </w:pPr>
            <w:r w:rsidRPr="00BE00C7">
              <w:rPr>
                <w:rFonts w:cs="Arial"/>
                <w:b w:val="0"/>
                <w:lang w:eastAsia="en-NZ"/>
              </w:rPr>
              <w:t>No infection outbreak has been reported since the previous audit. Pandemic and infectious disease outbreak plan was in place. Information on the management of the Covid-19 was readily available for residents, staff, and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coordinators (ICCs) have appropriate skills, knowledge and qualifications for the role and has attended specific education related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are accessed from the infection control team at the DHB and the NP and GP as required. The coordinators have access to residents’ records and diagnostic results to ensure timely treatment and resolution of any infections. The coordinators confirmed the availability of resources and external specialists to support the programme and any potential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The policies and procedures are developed by the organisation with advice from external specialists. Policies were last reviewed on 2 January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ICCs and other specialist external consultants. The education information pack is detailed and meets best practice and guidelines. The infection control coordinator attended infection prevention and control training conducted by an external consultant to keep their knowledge current. A record of attendance was maintained and was sighted. External contact resources included the NP and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Staff interviewed reported that they were informed of infection rates at three monthly staff meetings and through compiled reports. The GP or NP are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coordination role has been the manager until the recent appointment of the registered nurse manager. It has now become a joint responsibility. Both managers demonstrated a sound understanding of the organisation’s policies, procedures and practice and their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none of the residents were using a restraint and one person was using an enabler. The enabler in use is a lap belt, which is attached to the person’s wheelchair. Appropriate documentation is in this person’s file, which confirms its use is voluntary. Staff reported the person seldom uses the lap belt.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managers reported that restraint would only be used as a last resort when all alternatives had been explored. The manager informed the last use of a restraint was approximately 15 years ago. There were two records in the restraint register: one being an enabler that has been discontinued and the other noting the lap belt currently in use by one resident.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3"/>
        <w:gridCol w:w="1280"/>
        <w:gridCol w:w="6767"/>
        <w:gridCol w:w="2135"/>
        <w:gridCol w:w="15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nursing assessments were completed on admission while residents’ care plans and interRAI assessments were completed within three weeks according to policy. Assessments and care plans were detailed and included input from the family/whanau, residents, and other health team members as appropriate. Additional assessments were completed when needed; this included pain, behavioural, falls risk, nutritional requirements, continence, skin, and pressure injury assessments. The nursing staff utilised standardised risk assessment tools on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 Review of interRAI assessments were not occurring at the same with long term care plans and activities care plan evaluations. (ii) Four interRAI assessments were overdue.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(i)Provide evidence that interRAI assessments are completed and evaluated along with long-term care plans and activities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all interRAI assessments are completed in a timely manner.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Hardwill Group Limited - The Lodge</w:t>
    </w:r>
    <w:bookmarkEnd w:id="58"/>
    <w:r>
      <w:rPr>
        <w:rFonts w:cs="Arial"/>
        <w:sz w:val="16"/>
        <w:szCs w:val="20"/>
      </w:rPr>
      <w:tab/>
      <w:t xml:space="preserve">Date of Audit: </w:t>
    </w:r>
    <w:bookmarkStart w:id="59" w:name="AuditStartDate1"/>
    <w:r>
      <w:rPr>
        <w:rFonts w:cs="Arial"/>
        <w:sz w:val="16"/>
        <w:szCs w:val="20"/>
      </w:rPr>
      <w:t>11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