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Tasman Rest Home and Dementia Care Limited - Tasman Rest Home &amp; Dementia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Tasman Rest Home and Dementia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Tasman Rest Home &amp;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October 2020</w:t>
      </w:r>
      <w:bookmarkEnd w:id="7"/>
      <w:r w:rsidRPr="009418D4">
        <w:rPr>
          <w:rFonts w:cs="Arial"/>
        </w:rPr>
        <w:tab/>
        <w:t xml:space="preserve">End date: </w:t>
      </w:r>
      <w:bookmarkStart w:id="8" w:name="AuditEndDate"/>
      <w:r w:rsidR="00A4268A">
        <w:rPr>
          <w:rFonts w:cs="Arial"/>
        </w:rPr>
        <w:t>6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Four dual-purpose beds were assessed as suitable for psychogeriatric beds within the secure unit.  This reduces the number of dual-purpose beds to 11 and increase the number of psychogeriatric beds to 16.  The total number of beds at the facility remain at 53.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Tasman Rest Home &amp; Dementia Care provides rest home, hospital, dementia and psychogeriatric care for up to 53 residents.  Occupancy on the days of audit was 49 residents.  The service is divided into four smaller home-like care homes.  Four dual-purpose beds have been reconfigured into the secure psychogeriatric home.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An operations manager and clinical manager manage the service on a day-to-day basis.  The operations manager has been in the role for one year.  The clinical manager has been in the role for four months and has previous aged care experience.  The resident and families interviewed about the service all spoke positively about the care and support provided.  </w:t>
      </w:r>
    </w:p>
    <w:p w:rsidRPr="00A4268A">
      <w:pPr>
        <w:spacing w:before="240" w:line="276" w:lineRule="auto"/>
        <w:rPr>
          <w:rFonts w:eastAsia="Calibri"/>
        </w:rPr>
      </w:pPr>
      <w:r w:rsidRPr="00A4268A">
        <w:rPr>
          <w:rFonts w:eastAsia="Calibri"/>
        </w:rPr>
        <w:t xml:space="preserve">The audit identified that improvements are required around internal audits and meetings, first interRAI assessments and neurological observations. </w:t>
      </w:r>
    </w:p>
    <w:p w:rsidRPr="00A4268A">
      <w:pPr>
        <w:spacing w:before="240" w:line="276" w:lineRule="auto"/>
        <w:rPr>
          <w:rFonts w:eastAsia="Calibri"/>
        </w:rPr>
      </w:pPr>
      <w:r w:rsidRPr="00A4268A">
        <w:rPr>
          <w:rFonts w:eastAsia="Calibri"/>
        </w:rPr>
        <w:t xml:space="preserve">The one previous finding from the certification audit around registered nurse staffing remains.  </w:t>
      </w:r>
    </w:p>
    <w:p w:rsidRPr="00A4268A">
      <w:pPr>
        <w:spacing w:before="240" w:line="276" w:lineRule="auto"/>
        <w:rPr>
          <w:rFonts w:eastAsia="Calibri"/>
        </w:rPr>
      </w:pPr>
      <w:r w:rsidRPr="00A4268A">
        <w:rPr>
          <w:rFonts w:eastAsia="Calibri"/>
        </w:rPr>
        <w:t xml:space="preserve">The service has continued the previous continuous improvement rating around the reduction of urinary tract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Code of Rights the Health and Disability Commissioner (HDC) Code of Health and Disability Services Consumers’ Rights (the Code) and complaints process is readily available to residents and families.  There is regular communication and support for families.  Family are involved in the resident care plans and evaluations.  Complaints processes are implemented, and complaints and concerns are actively managed and documented.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Quality/risk goals are documented for the service with evidence of regular reviews.  Quality data is collected and reported to head office for benchmarking.  Human resources are managed in accordance with good employment practice.  An orientation programme is in place for new staff.  An education and training plan is implemented and includes in-service education and competency assessments.  There is sufficient care staff on duty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each stage of provision of care including initial assessments, interRAI assessments, care plans and evaluations.  Care plans reviewed were based on the interRAI outcomes and other assessments.  Resident and relatives interviewed confirmed they were involved in the care planning and review process.  There is at least a three-monthly resident review by the medical practitioner and psychogeriatric community nurse as required.  There are regular visits and support provided by the community mental health team.</w:t>
      </w:r>
    </w:p>
    <w:p w:rsidRPr="00A4268A" w:rsidP="00621629">
      <w:pPr>
        <w:spacing w:before="240" w:line="276" w:lineRule="auto"/>
        <w:rPr>
          <w:rFonts w:eastAsia="Calibri"/>
        </w:rPr>
      </w:pPr>
      <w:r w:rsidRPr="00A4268A">
        <w:rPr>
          <w:rFonts w:eastAsia="Calibri"/>
        </w:rPr>
        <w:t xml:space="preserve">The activity programme includes meaningful activities that meet the recreational needs and preferences of each resident.  Individual activity plans have been developed in consultation with resident/family.  There are regular entertainers and outings.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The service uses an electronic medication system.  Medication charts are reviewed at least three monthly. </w:t>
      </w:r>
    </w:p>
    <w:p w:rsidRPr="00A4268A" w:rsidP="00621629">
      <w:pPr>
        <w:spacing w:before="240" w:line="276" w:lineRule="auto"/>
        <w:rPr>
          <w:rFonts w:eastAsia="Calibri"/>
        </w:rPr>
      </w:pPr>
      <w:r w:rsidRPr="00A4268A">
        <w:rPr>
          <w:rFonts w:eastAsia="Calibri"/>
        </w:rPr>
        <w:t>Meals are provided from the main kitchen and delivered in insulated boxes to the home kitchenettes for serving.  Resident’s individual food preferences, dislikes and dietary requirements are met.  Nutritional snacks are available over a 24-hour period.  There is dietitian review and audit of the menus.  All staff have been trained in food safety and hygiene.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reactive and planned maintenance schedule.  The environment is suitable for residents requiring rest home, hospital, dementia and psychogeriatric levels of care.  Outdoor areas are safe and secure and accessible for the residents.  There is adequate equipment for the safe delivery of care.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were four residents using restraints and no residents utilising enablers.  Staff regularly receive education and training on restraint minimisation and de-escalation and disengagement.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1</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6"/>
        <w:gridCol w:w="1280"/>
        <w:gridCol w:w="104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Information about complaints is provided on admission.  Management operates an open-door policy.  Interview with four relatives confirmed an understanding of the complaints process.  There is an up-to-date online complaint register.  There have been three internal complaints in 2019 and three internal complaints for 2020 to date.  The operations manager and clinical manager share the management of complaints reporting process and outcomes to the quality systems manager and national clinical manager at the head office.  All complaints were acknowledged within the required timeframe and letters of acknowledgement/investigation and resolution offered advocacy contact and details.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and for residents who do not have any family to notify.  The clinical manager and three registered nurses (RNs) interviewed, confirmed family are kept informed.  Four relatives (two hospital and two dementia care) stated they are notified promptly of any incidents/accidents or any changes to the resident health status.  There was documented evidence of family notification recorded on the significant events record in each file including accidents/incidents, infections, general practitioner visits (GP), behavioural changes and medication.  Fifteen incident and accident forms reviewed from August and September 2020 evidenced that family are notified following adverse events.  Resident/family meetings encourage open discussion around the services provided.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Tasman Rest Home &amp; Dementia Care provides care for up to 53 residents.  The service is divided into four home-like care units, with one 11-bed dual-purpose hospital/rest home unit (Ora home), one 16-bed psychogeriatric care unit (Aio home) and two separate dementia care units with 13 beds in the Ata Hapara home and 13 beds in the Rangi home.  The service is in two separate buildings with a walkway between them.  The hospital/rest home and psychogeriatric care homes are in one building and the two dementia care homes are in the other.  At the time of the audit there were 49 residents in total.  There were no rest home residents, 10 hospital residents and 24 dementia level of care residents all under the Aged Related Residential Contract (ARRC) and 15 residents in the psycho-geriatric care unit, all under the Aged Residential Hospital Specialised Services Contract  (ARHSS)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has a corporate structure in place which includes two directors and a governance team of managers (including a clinical advisor) and coordinators.  The operations management leader and national clinical manager support the operations manager and the clinical manager respectively.  They are also supported by a director who regularly visits the site, a quality systems manager and education coordinator who is based at the Tasman site.  The director and educator were present on the days of audit.  There is an overall strategic plan for 2018-2021 which is reviewed at least annually.  A business plan is in place for all DCNZ facilities which includes a clinical focus around falls reduction, continence and pain management, monitoring of antipsychotropic medications and nutrition.  The vision and values of the organisation underpin the philosophy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operations manager and a clinical manager oversee Tasman Rest Home &amp; Dementia Care on a daily basis.  The operations manager has been in the role since January 2020 and was previously in an administrative role for DCNZ.  The operations manager had completed a general orientation and attended a two-day DCNZ operations manager professional development forum held by Zoom meetings due to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responsible for the clinical oversight of the service and has been in the position since May 2020.  She has had five years’ work experience as an RN including community health, aged care and within a DHB setting.  The clinical manager has completed a specific orientation to the role and attended a 2.5 professional development day for DCNZ clinical managers in September.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organisation-wide quality and risk management plan describes objectives, management controls and assigned responsibility.  Quality goals around infection control, health and safety, Māori Health Plan and education link to the business plan.  Progress with the quality and risk management plan is monitored through the monthly quality improvement meetings, however these have not been held as scheduled.  There are monthly caregiver and RN clinical meetings that include discussion around quality data including infections, accidents/incidents, resident cares, restraint, policies, goals and objectives.  Meeting minutes are maintained, and staff are expected to read the minutes.  Minutes sighted have included actions to achieve compliance where relevant.  The service has policies and procedures to support service delivery which are reviewed at head office.  Staff are informed of any policy reviews/changes.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on complaints, accidents, incidents, infection control and restraint use.  Benchmarking with other DCNZ facilities occurs on data collected.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DCNZ audit schedule, however internal audits have not been completed as scheduled.  There was no evidence of clinical audits completed as scheduled.  Audits that have been completed do not identify a date or a signature.  There were no corrective actions for audit outcomes less than expected.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enduring power of attorney (EPOA) survey was completed with a 44% response rate.  Results indicated a high satisfaction rate of prompt notifications, approachable staff and respect for resident’s privacy.  In June 2019 a multidisciplinary service providers survey confirmed their satisfaction with the service provided at Tasman rest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implemented health and safety management system.  There are risk management, and health and safety policies and procedures in place including accident and hazard management register last reviewed November 2019.  The director has overall responsibility for health and safety with the operations and clinical managers responsible for day-to-day environmental health and safety.  Health and safety are discussed at facility meetings.  The staff interviewed could describe the hazard reporting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monthly analysis of falls incidents and the identification of interventions on a case-by-case basis to minimise future falls.  A physiotherapist is contracted for fortnightly visits and completes resident assessments, post falls assessments and staff safe manual handling and hoist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An online incident/accident register is maintained.  Fifteen paper-based accident/incident forms for the month of August and September were reviewed in resident files.  The clinical manager investigates accidents and near misses and analysis of incident trends occurs.  There is a discussion of incidents/accidents at the clinical meetings including actions to minimise recurrence.  An RN conducts clinical follow-up of residents.  Neurological observations had not been completed as per protocol for seven resident falls reviewed for unwitnessed falls or with potential head injury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operations manager, clinical manager and national clinical manager confirmed that there is an awareness of the requirement to notify relevant authorities in relation to essential notifications.  There have been three Section 31 notifications made since the last audit.  The service has provided information to the coroners in May 2019 and this case has not yet been closed.  The service notified HealthCERT in April 2020 of a wandering person requiring police involvement.  A Section 31 was completed for a norovirus outbreak in September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 that relevant checks are completed to validate the individual’s qualifications and experience.  Current practising certificates were sighted for the RN, GP and other allied health professionals involved in the service.  Five staff files were reviewed (one clinical manager, one RN, two caregivers and one diversional therapist) and there was evidence that reference checks and police vetting were completed before employment.  Annual staff appraisals were evident in all staff files reviewed for those who have been with the service over twelve months.  The service has an orientation programme in place that provides new staff with relevant information for safe work practice.  Completed orientation was evidenced and staff could describe the orientation programme.  Competencies are completed relevant to the roles.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2019 has been completed and the plan for 2020 is being implemented.  Eight hours of staff development or in-service education has been provided annually.  The education coordinator provided in-service via Zoom meetings and this was set up for staff from other DCNZ facilities to access.  Staff have continued to attend sessions either on site or by Zoom, and their attendance recorded.  The education coordinator is a registered psychiatric nurse and provides education specific for dementia and psychogeriatric levels of care including training around de-escalation and disengagement.  The service uses the “Best Friends” approach to caring for residents, and staff complete an in-service education programme on this approach to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five RNs have achieved and maintained interRAI competency.  There are 17 caregivers who work in the dementia homes and 12 who work in the psychogeriatric home who have achieved the required units for dementia care (under the ARRC) and psychogeriatric care (under the ARHSS).  Four caregivers (two dementia care and two psychogeriatric) are currently completing their orientation before progressing through the required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Staffing rosters for each home were sighted and there are sufficient care staff on duty to meet the resident needs and resident safety on different shifts.  Staff interviewed stated there were enough staff on duty and there was the flexibility to extend the short shifts if needed. Residents requiring a higher level of care are referred to the assessment agency for re-assessment.  On the day of audit one dementia level of care resident had been transferred to the DHB assessment unit for reassessment of level of care.   </w:t>
            </w:r>
          </w:p>
          <w:p w:rsidR="00EB7645" w:rsidRPr="00BE00C7" w:rsidP="00BE00C7">
            <w:pPr>
              <w:pStyle w:val="OutcomeDescription"/>
              <w:spacing w:before="120" w:after="120"/>
              <w:rPr>
                <w:rFonts w:cs="Arial"/>
                <w:b w:val="0"/>
                <w:lang w:eastAsia="en-NZ"/>
              </w:rPr>
            </w:pPr>
            <w:r w:rsidRPr="00BE00C7">
              <w:rPr>
                <w:rFonts w:cs="Arial"/>
                <w:b w:val="0"/>
                <w:lang w:eastAsia="en-NZ"/>
              </w:rPr>
              <w:t>There is a full-time, plus on-call operations manager and clinical manager.  There is a weekend manager.  The DT rotates between the four units from 10 am to 1 pm Monday to Friday.  There is an activity coordinator on duty in each home from 1.30 pm to 4.30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Rangi and Ata Hapara: Each dementia home has a senior caregiver (home manager) on morning shift Monday to Sunday 7 am to 3 pm and a caregiver from 7 am to 1 pm. On afternoon shift there is a senior medication competent caregiver on duty 3 pm to 11 pm in each home; one caregiver in Ata Hapara from 4.30 pm to 8 pm and one home assistant in Rangi from 4.30 pm to 8 pm.  There is a caregiver on night shift (11 pm to 7 am) in each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Ora – rest home and hospital: There are two caregivers (one being medication competent) on the full morning and afternoon shifts (one finishes at 10 pm).  There is one caregiver on the night shift from midnight until 8 am. </w:t>
            </w:r>
          </w:p>
          <w:p w:rsidR="00EB7645" w:rsidRPr="00BE00C7" w:rsidP="00BE00C7">
            <w:pPr>
              <w:pStyle w:val="OutcomeDescription"/>
              <w:spacing w:before="120" w:after="120"/>
              <w:rPr>
                <w:rFonts w:cs="Arial"/>
                <w:b w:val="0"/>
                <w:lang w:eastAsia="en-NZ"/>
              </w:rPr>
            </w:pPr>
            <w:r w:rsidRPr="00BE00C7">
              <w:rPr>
                <w:rFonts w:cs="Arial"/>
                <w:b w:val="0"/>
                <w:lang w:eastAsia="en-NZ"/>
              </w:rPr>
              <w:t>Aio – psychogeriatric home: There are two caregivers (one being medication competent) on the full morning and afternoon shifts (one finishes at 10 pm).  There is a morning home assistant from 8 am to 1pm and an afternoon home assistant from 4.30 pm to 8 pm.  There is one caregiver on the night shift from midnight until 8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RN on duty 24 hours based in the PG unit who covers the residents in the hospital from 7 am to 11 pm.  During the night shift the RN covers the hospital residents adjacent to the psychogeriatric home in the same building.  There is an RN based in the dementia care homes from 8.30 am to 4.30 pm Monday to Sunday, who also oversees the hospital.  The RN cover for the hospital does not meet the requirements of the ARCC.  The previous finding around RN staffing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Medicines are appropriately stored in both buildings.  All staff that administer medicines have completed annual competencies and completed medication education.   RNs administer medications in the dual-purpose rest home/hospital unit and psychogeriatric unit.  Senior care staff administer medications for the dementia level care residents.  The RN completes medication reconciliation for regular medications delivered in robotic packs and for the ‘as required’ medication delivered in blister packs.  Medication reconciliation is recorded on the electronic medication system.  There were no residents self-medicating.  There were no standing orders or hospital stock.  The medication fridge (in the dual-purpose rest home/hospital unit and psychogeriatric home) was monitored daily.  The medication storage cupboards are monitored for room air temperature.  Eyedrops in use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(four hospital, four dementia and four psychogeriatric).  All medication charts had photo identification and allergy status noted.  The outcomes of ‘as required’ medications is recorded in the electronic medication system.  The GP reviews the medication charts at least three-monthly.  Antipsychotic medication use is reviewed with input from the community mental health case manager who visits fortnightly.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at Tasman Rest Home and Dementia Care are cooked on site by two qualified cooks covering Monday to Sunday.  A cook is on duty from 6.45 am to 5.15 pm daily and supported by a kitchenhand in the evening who completes cleaning duties.  All staff have completed food safety including home assistants and care staff.  There is a four-weekly winter/summer menu that is reviewed by a registered dietitian (2019).  Special diets accommodated are gluten free, dairy free, vegetarian and pureed meals.  Meals are in dishes and are delivered in insulted boxes to the home kitchenettes where home assistants’ plate and serve the meals.  Dislikes are accommodated.  Nutritious snacks are available 24 hours in the home kitchenettes including yoghurts, sandwiches, baking, ice-cream and fruit.  The kitchen is accessible to staff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A daily food control plan is completed that includes end cooked food temperatures, cooling, inward goods delivery, fridge, freezer and chiller temperatures and dishwasher rinse temperature.  There is a separate cleaning schedule.  Dry goods were date labelled.  Perishable goods were date labelled.  All goods were stored off the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members interviewed were satisfied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Relative notifications regarding resident changes in health is recorded on the significant events record held in each resident file.  All care plans reviewed had interventions documented to meet the needs of the resident.  Care plans are updated as residents’ needs changed.  Short-term care plans are used to guide staff for short-term needs and are reviewed regularly by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were in place for the one wound present on the day of audit.  The hospital resident had a wound on the ankle.  The GP had reviewed the wound and made a referral to the wound nurse specialist at the DHB.  There were no pressure injuries on the day of audit.  There are sufficient pressure relieving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bowel records, food and fluid charts, sleep charts, observation charts of resident “whereabouts”, repositioning charts, weight, behaviour charts observations, pain and restraint monitoring.  Neurological observations had not been completed as per protocol following unwitnessed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lead diversional therapist (DT) who oversees a team of two DTs and five activity coordinators.  The lead DT rotates between the four homes between 10 am to 1 pm.  From 1.30 pm to 4.30 pm there is a DT or activity coordinator in each home seven days a week.  Each home has a separate activity programme which is flexible, dependent on resident needs and choice of activity.  Each home has a higher functioning resident advocate who provides suggestions for activities and outings.  The weekly programme is displayed on noticeboards in all lounges.  Residents have the choice of a variety of activities in which to participate, and every effort is made to ensure activities are meaningful and tailored to residents’ needs.  Care staff (interviewed) are also involved in individual activities with the residents.  There are resource cupboards in each unit that are accessible to residents,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Activities offered are meaningful and include sensory activities such as aromatherapy, pampering, cooking, fruit tasting, reminiscing, photos, memory boxes, barbeques, music therapy and sing-a-longs.  Other activities include exercises, garden walks, lazy boy walks (hospital residents), movies, arts and crafts, poem readings, flower arranging, scrapbooking, colouring and garden picnics.  Residents are involved in a number of clubs such as knitting club, cooking club, café club, gardening club and bowling club.  The men’s club enjoy trips to the recycling centre, card games, washing the vans and are planning a fishing trip.  Homely activities include feeding the birds, folding serviettes, sorting/folding clothes, gardening and polishing cutlery.  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Combined activities include church services, entertainment and visiting speakers which is held in the large hospital lounge.  Residents from the dementia and psychogeriatric homes attend if appropriate and under supervision.  There are weekly van outings for each home to places of interest and scenic drives.  The DT has a current first aid certificate and drives the van accompanied by an activity coordinator.  Community links involve visits to the local primary school, art festivals, garden centres, sing-a-longs in the park and to the older person mental health community hall for entertainment and activities.  The service has supported Alzheimer’s NZ with cuppa for a cause.  Themes and events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(My Profile) completed over the first few weeks following admission that describes the residents past hobbies and present interests, career and family.  Resident files reviewed identified that the DT activity plan is based on this assessment.  Resident files reviewed identified that the individual activity plan and 24-hour multidisciplinary care plan is reviewed with the care plan review.  Resident and family meetings are held.  The resident and relatives interviewed were very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six files reviewed demonstrated that the long-term care plans reviewed had been evaluated by the RNs six monthly.  Two residents had not been at the service long enough for a care plan evaluation.  The care plans had been updated when changes to care occurs.  Reassessments have been completed using interRAI LTCF for residents who have had a significant change in health status.  Short-term care plans for short-term needs are evaluated and signed off as resolved or added to the long-term care plan as an ongoing problem.  The multidisciplinary review involves the RN, GP, DT and resident/family.  If the family are unable to attend, the RNs contacts the relative for input into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separate buildings with a current building warrant of fitness.  General maintenance is managed by the operations manager.  There is a scheduled maintenance plan in place.  Contractors are contacted when required.  The DCNZ company employ a tester and tagger for electrical equipment.  There is a company painter for continual refurbishments of rooms and communal areas.  There is a carpet replacement plan for the rest home/hospital lounge, hallways and bedrooms.  The hot water temperatures checked weekly, were recorded at 45 degrees Celsius or below in all resident areas.  Contractors maintain the gardens and grounds.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dual-purpose rooms have been reconfigured into the psychogeriatric home.  The internal secure doors were shifted to accommodate the additional four rooms which were assessed as suitable for psychogeriatric level of care.  There is easy access to the outdoors from each unit.  The courtyards and gardens are well maintained with safe paving, outdoor shaded seating and gardens.  The residents in the dementia and psychogeriatric units can access secure outdoor areas.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RNs and the caregivers confirmed that there was adequate equipment to carry out the cares according to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Individual infection report forms, and short-term care plans are completed for all resident infections.  Infections are collated in a monthly register and a monthly report is completed by the infection control coordinator.  There are standard definitions of infections in place appropriate to the complexity of service provided.  Infection control data is collated monthly and reported at the staff meetings and to head office.  Benchmarking occurs against other Dementia Care New Zealand facilities.  The service has continued to reduce urinary tract infections (UTI) by more than the 10% documented in the infection control goal around UTIs.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norovirus outbreak in September 2019.  The Public Health unit and MOH were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Interviews with caregivers and nursing staff confirmed their understanding of restraints and enablers.  There were no residents using enablers and four residents using restraint in the psychogeriatric home (one H belt and three arm restraints).  When a resident requires two staff members to gently hold their hands to calm the resident and allow another staff member to provide essential cares, this is documented as ‘arm restraint’ and is only used after a full restraint assessment, discussion with the family and involvement of the GP.  Each resident has a restraint care plan and monitoring form.  Staff regularly receive education and training on restraint minimisation and managing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75"/>
        <w:gridCol w:w="1280"/>
        <w:gridCol w:w="5244"/>
        <w:gridCol w:w="4119"/>
        <w:gridCol w:w="17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meeting is scheduled for the third Wednesday of every month, however there are no records of meeting minutes for 2020.  There is a DCNZ internal audit schedule in place, however these have not been completed as per schedule.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There is no evidence of monthly quality improvement meetings occurring, therefore the monitoring of the quality system is not being followed up by the service and 2) facility and clinical audits have been completed, but not all completed as scheduled.  Audits that have been completed have not been dated and do not always identify the auditor.  There are no corrective actions completed for audit results less than expected and there is no audit follow-up or reporting evident.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Ensure quality improvement meetings are held as scheduled and 2) ensure internal audits are completed as scheduled, corrective actions are completed, results discussed, followed up and reported.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RN based in the 16-bed psychogeriatric unit 24/7 which is attached to the 11 bed dual-purpose rest home/hospital unit.  The psychogeriatric unit and rest home/hospital are in the same building in very close proximity.  There is no RN rostered on duty in the dual-purpose unit from 7 am to 10 pm, however the RN in the dementia units oversees the hospital unit.  There is an RN on duty in the dementia care homes from 8.30 am to 4.30 pm.  Registered nurse staffing does not meet the ARRC for hospital level of care.  The RN staffing in the psychogeriatric home meets the requirements under the ARHSS contract.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rostered over 24 hours a day and located in the psychogeriatric home.  The contract with the local DHB states that the psychogeriatric unit and hospital unit can share a RN between 10 pm and 7 am only if the service is under 50 residents.  However, there is no RN rostered over the hospital unit between 4.30 pm and 10 pm.  There has been correspondence and discussion between the DHB contract manager and director (interviewed) in regard to the RN staffing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RN covers meet the requirements of the ARHSS contract.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First interRAI and routine interRAI assessments had been completed in four of the long-term resident files reviewed.  There were two residents (one dementia care and one psychogeriatric care) who were admitted during the Covid-19 restriction levels who did not have an interRAI assessment completed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 did not get completed for two residents (one dementia care and one psychogeriatric care) admitted during the Covid-19 restriction levels.  At the same time there were two interRAI trained RNs who left the service (one on maternity leave and one to relocate to another region).  This left two RNs who are interRAI trained.  The clinical manager and two RNs have been waiting to complete online interRAI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first interRAI assessments are completed within 21 days of admission.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are required following unwitnessed falls or where there is a potential for head injury.  Seven incidents of unwitnessed falls had neurological observations commenced however these had not been completed as per protocol.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post unwitnessed falls for seven residents were not completed as per the protocol.  Observations had not always been completed during the night and documented the resident as asleep.  There was no documentation in progress notes where neurological observations had not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neurological observations are completed as per protocol and record the reason for discontinuing observations earlier than the required timeframe of 24 hours.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3"/>
        <w:gridCol w:w="1280"/>
        <w:gridCol w:w="2781"/>
        <w:gridCol w:w="78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plan included a continuing reduction of UTIs across all levels of care by 10%.  All urinary tract infections are collated on a monthly basis and reported to head office for benchmarking against similar sized facilities and levels of care.  Tasman rest home and dementia care UTI rates have continued below the organisational target range.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continued to implement strategies around reducing the incidents of urinary tract infections (UTIs) that included: (a) education on the importance of hydration, (b) education sessions on infection control including hand hygiene, resident personal hygiene and perineal cares, continence management and UTIs (c) extra fluid rounds in warmer weather (d) promoting and implementing toileting regimes that meets individual resident’s needs and (e) cranberry juice and daily yoghurt for residents prone to UTIs. As a result of the strategies implemented, the facility has remained below the organisational target range of 1.51 UTIs per 1000 bed nights for hospital level care, 0.01 psychogeriatric level of care and 1.36 dementia level care over 2019 and 2020 to date.  A six-monthly analysis for June to December 2019 identified seven UTIs across all levels of care.  In the last six-month period from January 2020 to June 2020 there were zero UTIs.  The service has continued to exceed the standard.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Tasman Rest Home and Dementia Care Limited - Tasman Rest Home &amp; Dementia Care</w:t>
    </w:r>
    <w:bookmarkEnd w:id="58"/>
    <w:r>
      <w:rPr>
        <w:rFonts w:cs="Arial"/>
        <w:sz w:val="16"/>
        <w:szCs w:val="20"/>
      </w:rPr>
      <w:tab/>
      <w:t xml:space="preserve">Date of Audit: </w:t>
    </w:r>
    <w:bookmarkStart w:id="59" w:name="AuditStartDate1"/>
    <w:r>
      <w:rPr>
        <w:rFonts w:cs="Arial"/>
        <w:sz w:val="16"/>
        <w:szCs w:val="20"/>
      </w:rPr>
      <w:t>5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