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Dixon House Trust Board (Inc) - Dixon House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Dixon House Trust Board (Inc)</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Dixon House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October 2020</w:t>
      </w:r>
      <w:bookmarkEnd w:id="7"/>
      <w:r w:rsidRPr="009418D4">
        <w:rPr>
          <w:rFonts w:cs="Arial"/>
        </w:rPr>
        <w:tab/>
        <w:t xml:space="preserve">End date: </w:t>
      </w:r>
      <w:bookmarkStart w:id="8" w:name="AuditEndDate"/>
      <w:r w:rsidR="00A4268A">
        <w:rPr>
          <w:rFonts w:cs="Arial"/>
        </w:rPr>
        <w:t>14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Dixon House provides rest home and hospital level care for up to 42 rest home and hospital level care residents, including for respite care. The service is operated by the Dixon House Trust Board and managed by a facility manager, who also operates as the clinical nurse manager. Residents and families spoke positively about the care provided.</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This audit identified two areas of improvements relating to the business plan and the temperatures of hot food. There were no areas identified as requiring improvement at the previous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Residents and relatives are informed about the service provider’s complaint process and their right to make a complaint. 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Reports on clinical indicators and key operational aspects of service provision are regularly delivered to the Dixon House Trust Board.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Electronic systems are now complementing paper-based ones to enhance data analysis and summary processes. Staff are involved and survey feedback is sought from residents and families. Adverse events are documented with corrective actions implemented.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are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 xml:space="preserve">The food service meets the nutritional needs of the residents with special needs catered for. Food is safely managed. Residents verified satisfaction with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on public display.  No modifications have been made to the building since the last audit.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Three restraints and no enablers were in use at the time of audit.  A comprehensive assessment, approval and monitoring process with regular reviews occurs. Staff confirmed ongoing education on restraint and enabler use is provided and demonstrated a sound knowledge and understanding of the associated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 policy and procedure are detailed within the organisation’s policy manual and a complaints form is available. Copies are at the front door, which was confirmed during a staff interview. This documentation meets the requirements of Right 10 of the Code. The facility manager informed they provide information about the complaint process, both verbally and in writing, to residents and families on admission and those interviewed knew how to make a complaint.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three complaints were received in 2018; zero in 2019 and so far in 2020 there have been three. All of the latest ones have been made within the last month, during or since an absence of the facility manager. Investigations are still underway for each and progress toward resolutions are underway. Updates are being provided within the required timeframes and the complainants are being involved in the resolutions.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is supported by policies and procedures that meet the requirements of the Code of Health and Disability Services Consumers’ Rights (the Code). The facility manager/clinical nurse manger or the care coordinator takes responsibility for open disclosure processes. Residents and family members stated they are kept well informed about any changes to their/their relative’s status, are advised in a timely manner about any incidents or accidents as well as outcomes of regular and any urgent medical reviews. This was confirmed in communication forms in residents’ records reviewed and in completed incident forms.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manager/clinical nurse manager informed they have never needed to use an interpreter service but are aware the local West Coast District Health Board is able to access interpreters should one be required. An interpreter policy and procedures describe how to access the Foundation for the Blind, the Deaf Association, AAA – All Translations Service and Translations Worldwide. The facility manager has used large print for documentation for one person.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business continuity plan was available for management of ongoing services at Dixon House in the event of an emergency, with a focus on Covid-19. However, there is not a current strategic or business plan that outlines the purpose, values, scope, direction and goals of the organisation and nor was there a copy of the previous one. This has been raised for corrective action as the former one had also not been formally updated at the time of the previous audit. Hence there was also no document that describes annual and longer-term objectives and associated operational plans. Copies of the 2020 Trust Board annual report and board meeting minutes for October 2020 included evidence of presentations of reports from the manager and the clinical advisor. These included topics on adverse events, incidence and management of infections, staffing, staff education, internal audits/compliance, pay parity for nurses, use of technology in the clinical field and a sector profile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who is responsible for the management of Dixon House has had over 40 years of experience as a registered nurse and been in the current role for just over three years. Responsibilities and accountabilities for the role are defined in a job description and individual employment agreement.  The facility manager confirms knowledge of the sector, regulatory and reporting requirements and maintains currency through attending education on leadership and management, attending courses such as ‘Walking in another’s Shoes’ and attending ARRC meetings every two to three months. Although the facility manager is also known as the clinical nurse manager, this latter role is shared with a care co-ordinator who is an enrolled nurse, has been at the facility for many years and has continually upskilled at every available opportunity.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West Coast District Health Board under the Age Related Residential Care Agreement to provide rest home and hospital level care, respite care and for end of life care. On the day of audit, twenty-two residents were receiving rest home level care, two of whom were under respite care and sixteen hospital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and documented quality and risk system that reflects the principles of continuous quality improvement. This has been established with the assistance of a quality consultant. Meeting minutes reviewed confirmed the facility manager’s information that overviews of quality and risk issues are provided and discussion at two monthly quality and risk meetings, two monthly health and safety meetings and two monthly staff meetings, including departmental ones for household staff for example. Topics covered include accidents/incident reports, infection data and any related trends, complaints, satisfaction surveys, training, care related/clinical issues, restraint, staffing and education. Clinical data from these reports is analysed and actions taken for correction or improvement as relevant. Any required corrective actions identified during internal audits, or other review processes are managed in a coordinated manner to address the identified shortfalls. The use of electronic recording systems for quality and risk related data is increasing and is now used for internal audit records and follow-up corrective actions, incidents/accidents and infections. Benchmarking against similar facilities nationwide is able to be undertaken and assist the manager and staff in decision-making to improve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their involvement in quality and risk management activities through reading policy documents, representing their staff group on health and safety and/or quality and risk meetings and cooperating with completing forms such as after an incident when things happen.  A food survey has just been distributed as part of the planned actions to address one of the current open complaints. The annual 2020 family satisfaction survey has just been sent out, as they were delayed due to Covid-19 restrictions. An independent advocate has agreed to work with the residents to obtain their feedback. Although actions related to food, laundry services and activities were made following the 2019 surveys, the facility manager informed efforts to improve all of these services continues.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also developed in consultation with a quality/ clinical consultant. Those reviewed cover the necessary aspects of the service and contractual requirements.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The manager informed that a Health and Safety plan around Covid-19 was implemented during the key risk phases. A senior caregiver interviewed is a health and safety officer and works with the facility manager who is familiar with the Health and Safety at Work Act (2015). Minutes of regular health and safety meetings were viewed, the hazard register is updated six monthly and health and safety is included in the manager’s reports to the Dixon House Trust Board.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Copies of those reviewed were accompanied by completed falls assessment forms and neurological observations when indicated. The data for these incidents is transferred into an electronic system for incident records and a sample of incidents forms reviewed showed each had been investigated and followed up as per the electronic records. Action plans were developed and implemented accordingly for individual resident’s events. Collective adverse event data is collated, analysed, graphed and results summaries developed. This information is compared against the industry average and reported to quality and risk and staff meeting minutes and review of the analysed data may result in further corrective or preventive action or identified as a quality improvement opportunity.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facility/clinical nurse manager described essential notification reporting requirements, including for pressure injuries. They advised there have been nine notifications of significant events made to the Ministry of Health since January 2019. These have primarily been related to having insufficient registered nurses being available to cover all shifts with three others relating to significant falls by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a formal initial interview, referee checks, police vetting and validation of qualifications and practising certificates (APCs), where required.   A sample of staff records reviewed confirmed the organisation’s policies are being consistently implemented and records are maintained. There is a folder of current annual practising certificates for the registered health professionals associated with Dixon House in their relevant capacity.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applicable to the specific role of each staff person. Orientation records in staff files confirmed checklists are completed for all newer staff, although such records were not necessarily available for some of the longer-term staff who commenced prior to the current facility manager. During interview, staff reported that the orientation processes prepares new staff well for their roles, but that additional time is often needed to ensure they can work independently in a competent manner.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the mandatory training requirements, as listed in the policy and procedures developed with the quality/clinical consultant. Care staff have either completed or commenced a New Zealand Qualification Authority education programme to meet the requirements of the provider’s agreement with the DHB. A staff member is the internal assessor for the programme. Only two of the six registered nurses are maintaining their annual competency requirements to undertake interRAI assessments. The manager described the transient nature of registered nurses, most of who are immigrants, and noted that training all of these has not proven beneficial as they move on so quickly. Instead additional time is allocated for paperwork to the stable longer-term registered nurses. This system is working for the service provider. Current annual performance appraisals were found in all staff files reviewed and the manager confirmed these are currently up to date for all except two staff members who have been slow to complete their section.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uses the interRAI acuity data report to guide staffing needs and staffing levels are adjusted accordingly to meet the changing needs of residents. Registered nurses may override this if the need arises such as for an outbreak. The facility manager is on call 24/7, although a registered nurse confirmed they relieve for on-call duties when the facility manager requests a break or has other commitments.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During interview, care staff informed they have good access to advice when needed and they are well supported by registered nurses, the care coordinator and the facility manager. All reported there were adequate staff available to complete the work allocated to them, although this could depend on where they were working as workloads had become heavier. They informed an additional short shift that was trialled had been appreciated. Residents and family interviewed were full of praise for the staff. Observations and review of a four-week roster cycle confirmed adequate staff cover has been provided, with staff replaced in any unplanned absence. There is 24 hour/seven days a week registered nurse coverage in the hospital; however there have been intermittent occasions when there have not been sufficient registered nurses to cover all shifts as per contractual requirements. The section 31 notification process has been used to advise District Health Board and Ministry of Health officials. As all registered nurses have a current first aid certificate there is always at least one staff member who has a first aid certificate on duty, in addition to an enrolled nurse, the activity staff and the van drivers. Three of this team are scheduled to attend an update in November, which had been delayed because of Covid-19. In addition to meeting key requirements, a wound nurse is allocated to different wings as relevant and a mobility person works four hours three times a week.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as verified in staff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and enters them into the system. All medications sighted were within current use by dates. Clinical pharmacist input is available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residents who self-administer medications (inhalers) at the time of audit. Appropriate processes are in place to ensure this is managed in a safe manner and the GP reviews this every three months. The medication is stored and recorded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chef, kitchen manager and kitchen team and is in line with recognised nutritional guidelines for older people. The menu follows summer and winter patterns and has been reviewed by a qualified dietitian within the last two years (19 April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Grey District Council current until 17 April 2021. Food temperatures, including for high risk items, are not being monitored appropriately and recorded as part of the plan which has resulted in a corrective action. The food services manager has undertaken a safe food handling qualification, with kitchen assistants completing relevant food handling training as verified in staff files.</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is verified by most resident and family interviews. A group of residents has recently met with the manager about the menu and this is being addressed. One of the residents who had expressed concern shared that she felt management had heard their concern and was confident of resolution. Residents observed during a meal time were seen to be given sufficient time to eat their meal in an unhurried fashion and those requiring assistance had this provided in a respectful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appropriate. Care staff confirmed that care was provided as outlined in the documentation. A range of equipment and resources was available, suited to the level of care provided and in accordance with the residents’ needs such as pressure relieving mattresses and cushions.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who has begun her training in diversional therapy and a team of volunteers who take church services, housie and drive the van for outings.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after each activity recording residents’ engagement and as part of the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 residents’ goals, ordinary patterns of life and include normal community activities. Individual, group activities and regular events are offered. Residents and families/whānau are involved in evaluating and improving the programme through residents’ meetings and satisfaction surveys. Residents interviewed confirmed they find the programme stimulating and enjoyable. On the day of audit a large group of residents was observed actively engaged in an activity.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for urinary tract infections and wound management. When necessary, and for unresolved problems, long term care plans are added to and updated. Residents and families/whānau interviewed provided examples of involvement in evaluation of progress and any resulting changes. Multidisciplinary meetings are held six-monthly and family/whānau have opportunity for input.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building warrant of fitness on public display is dated 1 July 2020 and is valid for one year. No modifications have been made to the building since the last certification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and the upper and lower respiratory tract.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are made. This information is reported to the quality committee. Data is benchmarked externally with other aged care providers through an online portal.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in the last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care coordinator has the role of the restraint coordinator and works alongside the facility manager to provide support and oversight for enabler and restraint management in the facility. Both people demonstrated a sound understanding of the organisation’s policies, procedures and practice and their roles and responsibilities in relation to restraint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 restraint register had three residents recorded as using a restraint. Two of these people have been using bedrails when on their beds since 2018 and one person uses a hip harness when in a pressure relieving flotation chair. There were no enablers in use at the time of audit. The facility manager informed a similar process is followed for the use of enablers as is used for restraints when they an enabler is requested.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during interview that restraint and enabler training is regularly offered (last recorded was dated July 2020) and a restraint competency is completed during orientation and annually thereafter. This was evident in a review of staff training records.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15"/>
        <w:gridCol w:w="1280"/>
        <w:gridCol w:w="7925"/>
        <w:gridCol w:w="1596"/>
        <w:gridCol w:w="162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template for the development of a strategic/business plan within the service provider’s policy and procedure manuals; however this had not been used. The auditor was informed that there are several new board members, including a new chairperson, and the need for a strategic plan had been discussed. During the previous audit, a business plan, which had not been reviewed for that year had been provided; however the chairperson of the board at that time informed that nothing had changed and went through the plan with the auditor in detail to verify this. For this audit, not only was there not a current business plan, or similar document, that describes the current purpose, values, scope, direction and goals of the organisation but the copy of the previous version was not available. There was no official document to describe how any underlying goals are to be achieved.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not currently a business plan, or other current document, that describes the purpose, values, scope, direction and goals of the organisation as required by the standard.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Develop an up to date document that describes the purpose, values, scope, direction, and goals of the organisation with an outline of how the goals and objectives will be achieved.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has a current food safety plan but has not been monitoring temperatures of hot food as required in the food safety plan. Staff stated this was due to the purchase of a new thermometer that kitchen staff were unfamiliar with the use of and consequently over the last month have failed to record the required temperatures of food.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Temperatures of hot foods are not being measured in the kitchen to meet requirements of the food safety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Temperatures of hot food will be taken before meal service and recorded on the food safety plan daily diary.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Dixon House Trust Board (Inc) - Dixon House Rest Home</w:t>
    </w:r>
    <w:bookmarkEnd w:id="58"/>
    <w:r>
      <w:rPr>
        <w:rFonts w:cs="Arial"/>
        <w:sz w:val="16"/>
        <w:szCs w:val="20"/>
      </w:rPr>
      <w:tab/>
      <w:t xml:space="preserve">Date of Audit: </w:t>
    </w:r>
    <w:bookmarkStart w:id="59" w:name="AuditStartDate1"/>
    <w:r>
      <w:rPr>
        <w:rFonts w:cs="Arial"/>
        <w:sz w:val="16"/>
        <w:szCs w:val="20"/>
      </w:rPr>
      <w:t>14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