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Eversley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Eversley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2020</w:t>
      </w:r>
      <w:bookmarkEnd w:id="7"/>
      <w:r w:rsidRPr="009418D4">
        <w:rPr>
          <w:rFonts w:cs="Arial"/>
        </w:rPr>
        <w:tab/>
        <w:t xml:space="preserve">End date: </w:t>
      </w:r>
      <w:bookmarkStart w:id="8" w:name="AuditEndDate"/>
      <w:r w:rsidR="00A4268A">
        <w:rPr>
          <w:rFonts w:cs="Arial"/>
        </w:rPr>
        <w:t>16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Eversley Rest Home and Village provides rest home hospital level and dementia care for up to 50 residents. There were 48 residents at the facility on the first day if the audit.</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resident and staff files, and observations and interviews with residents, family members, management, staff and a general practitioner.</w:t>
      </w:r>
    </w:p>
    <w:p w:rsidRPr="00A4268A">
      <w:pPr>
        <w:spacing w:before="240" w:line="276" w:lineRule="auto"/>
        <w:rPr>
          <w:rFonts w:eastAsia="Calibri"/>
        </w:rPr>
      </w:pPr>
      <w:r w:rsidRPr="00A4268A">
        <w:rPr>
          <w:rFonts w:eastAsia="Calibri"/>
        </w:rPr>
        <w:t>An area identified as requiring improvement relates to planned activities.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the Health and Disability Commissioners Code of Health and Disability Services Consumers Rights is provided to residents and families and available within the facility.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Open communication between staff, residents and families is promoted, and documentation confirmed it to be effective. There is access to interpreter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An experienced business and care manager oversees the facility with the support of a regional clinical manager. A clinical manager supervises the clinical services supported by a regional clinical manager. Both the business and care manager and clinical manager are registered nurses with current practising certificates.</w:t>
      </w:r>
    </w:p>
    <w:p w:rsidRPr="00A4268A">
      <w:pPr>
        <w:spacing w:before="240" w:line="276" w:lineRule="auto"/>
        <w:rPr>
          <w:rFonts w:eastAsia="Calibri"/>
        </w:rPr>
      </w:pPr>
      <w:r w:rsidRPr="00A4268A">
        <w:rPr>
          <w:rFonts w:eastAsia="Calibri"/>
        </w:rPr>
        <w:t>The facility implements Oceania Healthcare Limited’s quality and risk management systems that include collection and analysis of quality improvement data and identifying trends that lead to improvements. Quality and risk performance is monitored through the organisation’s reporting systems. An internal audit programme is implemented.</w:t>
      </w:r>
    </w:p>
    <w:p w:rsidRPr="00A4268A">
      <w:pPr>
        <w:spacing w:before="240" w:line="276" w:lineRule="auto"/>
        <w:rPr>
          <w:rFonts w:eastAsia="Calibri"/>
        </w:rPr>
      </w:pPr>
      <w:r w:rsidRPr="00A4268A">
        <w:rPr>
          <w:rFonts w:eastAsia="Calibri"/>
        </w:rPr>
        <w:t xml:space="preserve">Policies and procedures support service delivery, are current, align with legislation and support good practice guidelines. Monthly reports to the national support office allow for the monitoring of service delivery. </w:t>
      </w:r>
    </w:p>
    <w:p w:rsidRPr="00A4268A">
      <w:pPr>
        <w:spacing w:before="240" w:line="276" w:lineRule="auto"/>
        <w:rPr>
          <w:rFonts w:eastAsia="Calibri"/>
        </w:rPr>
      </w:pPr>
      <w:r w:rsidRPr="00A4268A">
        <w:rPr>
          <w:rFonts w:eastAsia="Calibri"/>
        </w:rPr>
        <w:t>The Oceania Healthcare Limited human resource policies and procedures are documented and implemented by Eversley Rest Home and Village. Newly recruited staff undertake orientation appropriate to their role. Practising certificates for staff and contractors who require them, are validated annually. Staffing levels within the facility are sufficient to meet the needs of the resident’s acuity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files evidence risk assessments and initial care plans are completed on admission. Desired outcomes and goals of residents were clearly documented. The general practitioner documentation is consistent with regular reviews and timely interventions. The general practitioner stated there is regular resident and family communication including three monthly reviews. Family communication is documented in the resident’s clinical file. Residents’ progress notes and observation charts are maintained. Clinical handovers occur at the beginning of each shift. </w:t>
      </w:r>
    </w:p>
    <w:p w:rsidRPr="00A4268A" w:rsidP="00621629">
      <w:pPr>
        <w:spacing w:before="240" w:line="276" w:lineRule="auto"/>
        <w:rPr>
          <w:rFonts w:eastAsia="Calibri"/>
        </w:rPr>
      </w:pPr>
      <w:r w:rsidRPr="00A4268A">
        <w:rPr>
          <w:rFonts w:eastAsia="Calibri"/>
        </w:rPr>
        <w:t xml:space="preserve">All interRAI assessments were completed within the required timeframes. There was evidence the interRAI assessment informs the long-term care plan. </w:t>
      </w:r>
    </w:p>
    <w:p w:rsidRPr="00A4268A" w:rsidP="00621629">
      <w:pPr>
        <w:spacing w:before="240" w:line="276" w:lineRule="auto"/>
        <w:rPr>
          <w:rFonts w:eastAsia="Calibri"/>
        </w:rPr>
      </w:pPr>
      <w:r w:rsidRPr="00A4268A">
        <w:rPr>
          <w:rFonts w:eastAsia="Calibri"/>
        </w:rPr>
        <w:t xml:space="preserve">Rest home and hospital care planned activities are appropriate to the residents both on a one-on-one basis and in a group setting. </w:t>
      </w:r>
    </w:p>
    <w:p w:rsidRPr="00A4268A" w:rsidP="00621629">
      <w:pPr>
        <w:spacing w:before="240" w:line="276" w:lineRule="auto"/>
        <w:rPr>
          <w:rFonts w:eastAsia="Calibri"/>
        </w:rPr>
      </w:pPr>
      <w:r w:rsidRPr="00A4268A">
        <w:rPr>
          <w:rFonts w:eastAsia="Calibri"/>
        </w:rPr>
        <w:t>A medication management system is in place. There are in-service education sessions for all staff responsible for medication management and administration. Staff responsible for medicine management have current competencies completed annually.</w:t>
      </w:r>
    </w:p>
    <w:p w:rsidRPr="00A4268A" w:rsidP="00621629">
      <w:pPr>
        <w:spacing w:before="240" w:line="276" w:lineRule="auto"/>
        <w:rPr>
          <w:rFonts w:eastAsia="Calibri"/>
        </w:rPr>
      </w:pPr>
      <w:r w:rsidRPr="00A4268A">
        <w:rPr>
          <w:rFonts w:eastAsia="Calibri"/>
        </w:rPr>
        <w:t>Food and nutritional needs of residents are delivered in-line with accepted nutritional guidelines. There is a central kitchen and on-site staff providing the food service. Records of staff training validated completion of food safety training. The food control plan is current.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had not been any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Oceania Healthcare Limited policies and procedures that meet the standards for restraint minimisation and enabler use. There are systems in place to ensure enabler use is voluntary. Assessments of residents are undertaken prior to restraint or enabler use. Restraint and enabler use is documented in the resident’s care plans.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procedures and guidelines are incorporated into the facility minimisation programme. </w:t>
      </w:r>
    </w:p>
    <w:p w:rsidRPr="00A4268A">
      <w:pPr>
        <w:spacing w:before="240" w:line="276" w:lineRule="auto"/>
        <w:rPr>
          <w:rFonts w:eastAsia="Calibri"/>
        </w:rPr>
      </w:pPr>
      <w:r w:rsidRPr="00A4268A">
        <w:rPr>
          <w:rFonts w:eastAsia="Calibri"/>
        </w:rPr>
        <w:t>Staff are familiar with current infection control measure requirements. New employees are provided with training in infection prevention and control.</w:t>
      </w:r>
    </w:p>
    <w:p w:rsidRPr="00A4268A">
      <w:pPr>
        <w:spacing w:before="240" w:line="276" w:lineRule="auto"/>
        <w:rPr>
          <w:rFonts w:eastAsia="Calibri"/>
        </w:rPr>
      </w:pPr>
      <w:r w:rsidRPr="00A4268A">
        <w:rPr>
          <w:rFonts w:eastAsia="Calibri"/>
        </w:rPr>
        <w:t>The infection control programme, content and detail are appropriate for the size, complexity and degree of risk associated with the service. Surveillance of infections includes collation of data, analysis and benchmarking within the organisation.</w:t>
      </w:r>
    </w:p>
    <w:p w:rsidRPr="00A4268A">
      <w:pPr>
        <w:spacing w:before="240" w:line="276" w:lineRule="auto"/>
        <w:rPr>
          <w:rFonts w:eastAsia="Calibri"/>
        </w:rPr>
      </w:pPr>
      <w:r w:rsidRPr="00A4268A">
        <w:rPr>
          <w:rFonts w:eastAsia="Calibri"/>
        </w:rPr>
        <w:t xml:space="preserve">Ministry of Health Covid-19 guidance and information provide awareness of changes to maximise facility surveillance and risk. Eversley Rest Home and Village Covid-19 guidance and information, demonstrated compliance with health screening and managing visits to minimise the risk of Covid-19. </w:t>
      </w:r>
    </w:p>
    <w:p w:rsidRPr="00A4268A">
      <w:pPr>
        <w:spacing w:before="240" w:line="276" w:lineRule="auto"/>
        <w:rPr>
          <w:rFonts w:eastAsia="Calibri"/>
        </w:rPr>
      </w:pPr>
      <w:r w:rsidRPr="00A4268A">
        <w:rPr>
          <w:rFonts w:eastAsia="Calibri"/>
        </w:rPr>
        <w:t>Specialist infection prevention and control advice can be accessed from the district health board microbiologist, general practitioners and infection control specialists if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0"/>
        <w:gridCol w:w="1280"/>
        <w:gridCol w:w="99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complaints management. The complaints policy and associated forms meet the requirements of Right 10 of the Code. Information on the complaint process is provided to residents and families on admission and those interviewed knew how to do so. The complaints forms are displayed and accessible within the facility. Staff interviewed confirmed their awareness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written complaints have been received over the past year. The actions taken, through to an agreed resolution, were documented and completed within the timeframes. Action plans showed that any required follow up and improvements have been made. </w:t>
            </w:r>
          </w:p>
          <w:p w:rsidR="00EB7645" w:rsidRPr="00BE00C7" w:rsidP="00BE00C7">
            <w:pPr>
              <w:pStyle w:val="OutcomeDescription"/>
              <w:spacing w:before="120" w:after="120"/>
              <w:rPr>
                <w:rFonts w:cs="Arial"/>
                <w:b w:val="0"/>
                <w:lang w:eastAsia="en-NZ"/>
              </w:rPr>
            </w:pPr>
            <w:r w:rsidRPr="00BE00C7">
              <w:rPr>
                <w:rFonts w:cs="Arial"/>
                <w:b w:val="0"/>
                <w:lang w:eastAsia="en-NZ"/>
              </w:rPr>
              <w:t>The acting BCM advised that there had been no complaints with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Health and Disability Code of Health and Disability Services Commission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and were advised in a timely manner about any accidents/incidents and outcomes of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reported that they are informed of two-monthly residents’ meetings and that they receive the facility newsletter. Review of meeting minutes evidenced information is shared with residents, such as verbal complaints, survey results and that there is an opportunity to provide feedback on services. The business and care manager (BCM) is the current chairperson of the meeting (refer 1.3.7.1). Interviews with residents and family advised that the BCM has an open-door policy, is approachable and were satisfied with responses received. </w:t>
            </w:r>
          </w:p>
          <w:p w:rsidR="00EB7645" w:rsidRPr="00BE00C7" w:rsidP="00BE00C7">
            <w:pPr>
              <w:pStyle w:val="OutcomeDescription"/>
              <w:spacing w:before="120" w:after="120"/>
              <w:rPr>
                <w:rFonts w:cs="Arial"/>
                <w:b w:val="0"/>
                <w:lang w:eastAsia="en-NZ"/>
              </w:rPr>
            </w:pPr>
            <w:r w:rsidRPr="00BE00C7">
              <w:rPr>
                <w:rFonts w:cs="Arial"/>
                <w:b w:val="0"/>
                <w:lang w:eastAsia="en-NZ"/>
              </w:rPr>
              <w:t>Residents needs for interpreting services are discussed at the time of entry to services. Access to interpreters is organised through families, community groups or the district health board. Specific care arrangements made for residents with communication impairments are observed. There were no residents that did not speak English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Eversley Rest Home and Village (Eversley) is part of Oceania Healthcare Limited (Oceania). The organisation’s values were visible and on display in the entrance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Eversley follows the overarching direction and strategic plans of Oceania. These are reviewed by the organisation’s board and senior management team each financial year. Oceania has an overarching business plan and Eversley has a business plan specific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was on leave at the time of audit. A BCM from another local facility was the acting facility BCM at the time of the audit. A regional clinical manager (CM) and regional operations manager provides support to the facility. The BCM provides the executive management team with monthly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has been in the role for seven years and has been employed by Oceania since 2008, previous experience includes management of other facilities for the Oceania group. The BCM is supported by a CM who has been in the role for 12 months. The BCM and CM maintain their knowledge of the sector through representation and participation in aged-care forums and seminars. The BCM and CM are registered nurses (RN) with current annual practising certificates (APC).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rest home, hospital level and dementia care for up to 50 residents. The facility is certified for 33 dual purpose beds and 17 dementia care beds.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a total of 48 residents in the facility, 24 receiving rest home care, 7 receiving hospital level care and 17 dementia care residents. Included in these numbers was 1 person under 65 years of age receiving rest home level care under the mental health contract.</w:t>
            </w:r>
          </w:p>
          <w:p w:rsidR="00EB7645" w:rsidRPr="00BE00C7" w:rsidP="00BE00C7">
            <w:pPr>
              <w:pStyle w:val="OutcomeDescription"/>
              <w:spacing w:before="120" w:after="120"/>
              <w:rPr>
                <w:rFonts w:cs="Arial"/>
                <w:b w:val="0"/>
                <w:lang w:eastAsia="en-NZ"/>
              </w:rPr>
            </w:pPr>
            <w:r w:rsidRPr="00BE00C7">
              <w:rPr>
                <w:rFonts w:cs="Arial"/>
                <w:b w:val="0"/>
                <w:lang w:eastAsia="en-NZ"/>
              </w:rPr>
              <w:t>The facility contracts with the district health board (DHB) for the provision of hospital and rest home level of care, long-term support, respite and day care services, dementia (excluding psychogeriatric) and mental health services.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on the days of audit receiving care under the respite and day care services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Eversley utilises Oceania quality and risk system, that reflects the principles of continuous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Oceania management group reviews all policies with input from relevant experts. Polices reviewed cover the necessary aspects of the service and contractual requirements, including reference to the interRAI long-term care facility assessment and process. Policies include references to current best practice and legislative requirements. New and revised policies are presented to staff at staff meetings and policy updates are also provided as part of relevant in-service education. Staff interviewed confirmed that they are provided with new and revised policies and opportunity to read and understand the policy.</w:t>
            </w:r>
          </w:p>
          <w:p w:rsidR="00EB7645" w:rsidRPr="00BE00C7" w:rsidP="00BE00C7">
            <w:pPr>
              <w:pStyle w:val="OutcomeDescription"/>
              <w:spacing w:before="120" w:after="120"/>
              <w:rPr>
                <w:rFonts w:cs="Arial"/>
                <w:b w:val="0"/>
                <w:lang w:eastAsia="en-NZ"/>
              </w:rPr>
            </w:pPr>
            <w:r w:rsidRPr="00BE00C7">
              <w:rPr>
                <w:rFonts w:cs="Arial"/>
                <w:b w:val="0"/>
                <w:lang w:eastAsia="en-NZ"/>
              </w:rPr>
              <w:t>The documented control system ensures a systematic and regular process, including the approval, distribution, and removal of documents.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this includes management of incidents and complaints, audit activities, a regular patient satisfaction survey, monitoring of outcomes, clinical incidents including infections, falls, medication errors, sentinel events, weight loss and wounds. Clinical indicators are collated monthly and benchmarked against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by the CM. Audit data is collected, collated and analysed. Where improvements are required following internal audits, corrective actions are developed. 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are conducted monthly, examples include: general staff, quality improvement, RNs and resident meetings. Minutes of meetings evidenced communication with staff around aspects of quality improvement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quality management data evidenced corrective actions plans were completed using the Oceania template. Documentation included the person responsible for implementation and time frames required when required adhered to and evaluated as to the effectiveness of the plan. </w:t>
            </w:r>
          </w:p>
          <w:p w:rsidR="00EB7645" w:rsidRPr="00BE00C7" w:rsidP="00BE00C7">
            <w:pPr>
              <w:pStyle w:val="OutcomeDescription"/>
              <w:spacing w:before="120" w:after="120"/>
              <w:rPr>
                <w:rFonts w:cs="Arial"/>
                <w:b w:val="0"/>
                <w:lang w:eastAsia="en-NZ"/>
              </w:rPr>
            </w:pPr>
            <w:r w:rsidRPr="00BE00C7">
              <w:rPr>
                <w:rFonts w:cs="Arial"/>
                <w:b w:val="0"/>
                <w:lang w:eastAsia="en-NZ"/>
              </w:rPr>
              <w:t>Eversley has a risk management programme in place. Health and safety policies and procedures are documented along with hazard management programme. There was evidence of hazard identification forms completed when a hazard was identified and that hazards are addressed and risks minimised. The maintenance personal is the health and safety office and has received health and safety training. A current hazard register was sighted on-site. Staff interviewed confirmed awareness of the process to report hazards.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Essential notification of reported events is the responsibility of the BCM. The acting BCM demonstrated in interviews of situations in which the service would need to report and notify statutory authorities including: police visiting the facility; unexpected deaths; sentinel events; notification of a pressure injury, disease outbreaks and changes in key managers. Staff interviewed understood the adverse event reporting process in relation to their professional practice and regulatory requirements. They were also able to describe the importance of reporting near misses.</w:t>
            </w:r>
          </w:p>
          <w:p w:rsidR="00EB7645" w:rsidRPr="00BE00C7" w:rsidP="00BE00C7">
            <w:pPr>
              <w:pStyle w:val="OutcomeDescription"/>
              <w:spacing w:before="120" w:after="120"/>
              <w:rPr>
                <w:rFonts w:cs="Arial"/>
                <w:b w:val="0"/>
                <w:lang w:eastAsia="en-NZ"/>
              </w:rPr>
            </w:pPr>
            <w:r w:rsidRPr="00BE00C7">
              <w:rPr>
                <w:rFonts w:cs="Arial"/>
                <w:b w:val="0"/>
                <w:lang w:eastAsia="en-NZ"/>
              </w:rPr>
              <w:t>Staff who witness an event or are first to respond to an event, document the adverse, unplanned or untoward accident/incident in an electronic management system. The system creates an automatic log of tasks to do such as neurological observations, falls assessments as appropriate, and contact family members. The system automatically develops a report of incomplete tasks at the end of each shift. The BCM and CM are responsible for reviewing the lodged clinical accident/incident forms and receive notification via email once the accident/incident is lodged. Results from accidents/incidents inform quality improvement processes and are discussed at facility meetings. Family interviewed confirmed that they are notified where the resident has had an accident/incident or a change in health status.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section 31 events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 position specific job description, signed employment contract and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APCs and practitioners’ certificates are current. Current certificates were evidenced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A copy of a current driver’s license and first aid certificates are obtained for all drivers of the van.</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records reviewed show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role specific mandatory annual education and training module/schedule. The mandatory continuing education includes but not limited to moving and handling, infection control and restraint/enabler use. Interviews confirmed that all staff, including RNs undertake relevant education per year and that an appraisal schedule is in place. Staff education records evidenced that on-going training and education is completed. Four of the eight RNs were identified as interRAI competent, the other four are currently receiving training.</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show consistent documentation of annual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uses a regional Oceania pre-populated roster that documents a process for determining staffing levels and skill mixes to provide safe service delivery, 24 hours a day, 7 days a week. The facility adjusts staffing levels to meet the changing needs of residents and staff illness by flexing the current roster.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health care assistants (HCA) interviewed confirmed there were adequate staff available to complete the workload and specific tasks allocated to them. Residents and family interviewed support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four-week roster cycle confirmed staff cover is provided in line with the DHB contract, with staff replaced in any unplanned absence. A RN is rostered on each shift and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BCM, CM and or a senior RN are on call after hours and weekends seven days a week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storage room included a secure medicine dispensing system in accordance with legislation and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were stored in their original dispensed packs in secure trolleys. </w:t>
            </w:r>
          </w:p>
          <w:p w:rsidR="00EB7645" w:rsidRPr="00BE00C7" w:rsidP="00BE00C7">
            <w:pPr>
              <w:pStyle w:val="OutcomeDescription"/>
              <w:spacing w:before="120" w:after="120"/>
              <w:rPr>
                <w:rFonts w:cs="Arial"/>
                <w:b w:val="0"/>
                <w:lang w:eastAsia="en-NZ"/>
              </w:rPr>
            </w:pPr>
            <w:r w:rsidRPr="00BE00C7">
              <w:rPr>
                <w:rFonts w:cs="Arial"/>
                <w:b w:val="0"/>
                <w:lang w:eastAsia="en-NZ"/>
              </w:rPr>
              <w:t>Drug registers are maintained and there was evidence of weekly checks, and six-month physical and pharmacist stock takes. There is an agreement with one pharmacy.</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temperatures are conducted and recorded, no vaccines are stored on-site. The medicines room temperature complies with the guidelines for safe storage. There is an appropriate process for expired medications.</w:t>
            </w:r>
          </w:p>
          <w:p w:rsidR="00EB7645" w:rsidRPr="00BE00C7" w:rsidP="00BE00C7">
            <w:pPr>
              <w:pStyle w:val="OutcomeDescription"/>
              <w:spacing w:before="120" w:after="120"/>
              <w:rPr>
                <w:rFonts w:cs="Arial"/>
                <w:b w:val="0"/>
                <w:lang w:eastAsia="en-NZ"/>
              </w:rPr>
            </w:pPr>
            <w:r w:rsidRPr="00BE00C7">
              <w:rPr>
                <w:rFonts w:cs="Arial"/>
                <w:b w:val="0"/>
                <w:lang w:eastAsia="en-NZ"/>
              </w:rPr>
              <w:t>All staff authorised to administer medications have current competencies. The medication round was observed and demonstrated the staff member was knowledgeable about the medications administered. Protocols and procedures were followed. There was consistent evidence of controlled drugs outcomes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medication charts evidence current resident’s photograph identification. The regular medications for each resident is recorded (including the name of the medication, dose, frequency and route).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(PRN) medication, indications for use and maximum doses were recorded. Allergies were recorded, and three-monthly reviews were conducted by the GP. There were no residents self-administering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and kitchen staff interviewed confirmed they were aware of the resident’s individual dietary requirements. The resident’s dietary requirements were identified on admission, documented and communicated to kitchen staff. All resident’s dietary needs were reviewed as needed. Nutritional supplements made up in the kitchen were dated and expiry dates were evidenced. There was sufficient emergency food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sighted of dietitian input into the food plan, menus are changed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also given the opportunity to feedback about the food at the residents’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monthly recording of individual resident’s weights. In interview residents stated they were satisfied with the food service and their individual dietary preferences were met. The residents’ also stated there were adequate amounts of food and fluids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are recorded. Fridges, chillers and freezer temperatures are recorded and documented. All decanted food is dated and expiry dates are recorded. The kitchen was clean and fit for purpose. Food was stored off the floor and there were separate chopping boards for different food types. Hand washing equipment, gloves and hats were available. There was documented evidence that a kitchen cleaning roster was implemented. There was adequate crockery and evidence of specialised equipment for residents who required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safety training is recorded and current.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 interventions based on assessed needs and individualised desired outcomes.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care and treatment delivered met their needs and contact and links to community services is maintained. Staff interviewed evidenced familiarity with the needs of the residents they were allocated to. Family communication is recorded in the resident’s file. Progress notes, GP records and observation charts are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trained DT and one assistant providing a total of 36 planned activities per week. In the dementia unit HCAs and RNs provide six additional hours of one-on-one and social activities. The monthly activities programme is reviewed and changed monthly. There is a DT meeting quarterly and this includes input from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one activities programme which includes rest home, hospital and dementia residents. The programme includes weekly exercises delivered by the physiotherapist, including cognitive, social, one-on-one and group activities. Religious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attend but the activities programme is voluntary.</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individualised activities assessments and care plans, this is evidenced in the resident’s file.</w:t>
            </w:r>
          </w:p>
          <w:p w:rsidR="00EB7645" w:rsidRPr="00BE00C7" w:rsidP="00BE00C7">
            <w:pPr>
              <w:pStyle w:val="OutcomeDescription"/>
              <w:spacing w:before="120" w:after="120"/>
              <w:rPr>
                <w:rFonts w:cs="Arial"/>
                <w:b w:val="0"/>
                <w:lang w:eastAsia="en-NZ"/>
              </w:rPr>
            </w:pPr>
            <w:r w:rsidRPr="00BE00C7">
              <w:rPr>
                <w:rFonts w:cs="Arial"/>
                <w:b w:val="0"/>
                <w:lang w:eastAsia="en-NZ"/>
              </w:rPr>
              <w:t>Feedback is encouraged from family and residents at monthly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care planning evaluations are documented and implemented. The resident’s care plans were current and reviewed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family, allied health and GP input into the care plan evaluations. Interviews with family confirmed their participation in care plan evaluations, sudden changes in health status and three-monthly GP reviews. </w:t>
            </w:r>
          </w:p>
          <w:p w:rsidR="00EB7645" w:rsidRPr="00BE00C7" w:rsidP="00BE00C7">
            <w:pPr>
              <w:pStyle w:val="OutcomeDescription"/>
              <w:spacing w:before="120" w:after="120"/>
              <w:rPr>
                <w:rFonts w:cs="Arial"/>
                <w:b w:val="0"/>
                <w:lang w:eastAsia="en-NZ"/>
              </w:rPr>
            </w:pPr>
            <w:r w:rsidRPr="00BE00C7">
              <w:rPr>
                <w:rFonts w:cs="Arial"/>
                <w:b w:val="0"/>
                <w:lang w:eastAsia="en-NZ"/>
              </w:rPr>
              <w:t>Wound care plans evidenced current evaluations. Resident’s progress notes were entered on each shift. When a resident’s health status changed there was evidence of GP and family communication. Short-term care plans were current. There was evidence of additional input from other health professionals and specialists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There have not been any structural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is the CM who is responsible for the surveillance programme at the facility. There is a signed and current job description for the ICC. Monthly analysis is completed and reported at monthly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infections are collated monthly, including urinary tract, upper respiratory and skin. This data is analysed for trends and the figures are reported to the quality and routine staff meetings. The surveillance is appropriate to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 keep staff informed, residents files identify all infections, assessments, short-term care plans, progress notes and verbal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implements guidance from the Ministry of Health in regard to surveillance monitoring for Covid-19, including screening and health assessment.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scabies and one diarrhoea and vomiting outbreak since the last audit. These were reported to the DHB medical officer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Eversley uses the Oceania restraint minimisation and safe practice policies, and practices comply with legislative requirements. The restraint policy includes clear definitions of restraint and enablers. Enablers are described in accordance with the Health and Disability Services Standards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CM is the restraint coordinator. The responsibilities of the restraint coordinator are defined in the position description which was signed. Staff received training in restraint and education updates were up-to-date.</w:t>
            </w:r>
          </w:p>
          <w:p w:rsidR="00EB7645" w:rsidRPr="00BE00C7" w:rsidP="00BE00C7">
            <w:pPr>
              <w:pStyle w:val="OutcomeDescription"/>
              <w:spacing w:before="120" w:after="120"/>
              <w:rPr>
                <w:rFonts w:cs="Arial"/>
                <w:b w:val="0"/>
                <w:lang w:eastAsia="en-NZ"/>
              </w:rPr>
            </w:pPr>
            <w:r w:rsidRPr="00BE00C7">
              <w:rPr>
                <w:rFonts w:cs="Arial"/>
                <w:b w:val="0"/>
                <w:lang w:eastAsia="en-NZ"/>
              </w:rPr>
              <w:t>Restraints are minimised by using de-escalation and other interventions to prevent the use of restraint. High/low beds in in place for residents at risk of falling, sensor mats are in place to alert staff to residents who mobilise/transfer without assistance who are at high risk of falls.</w:t>
            </w:r>
          </w:p>
          <w:p w:rsidR="00EB7645" w:rsidRPr="00BE00C7" w:rsidP="00BE00C7">
            <w:pPr>
              <w:pStyle w:val="OutcomeDescription"/>
              <w:spacing w:before="120" w:after="120"/>
              <w:rPr>
                <w:rFonts w:cs="Arial"/>
                <w:b w:val="0"/>
                <w:lang w:eastAsia="en-NZ"/>
              </w:rPr>
            </w:pPr>
            <w:r w:rsidRPr="00BE00C7">
              <w:rPr>
                <w:rFonts w:cs="Arial"/>
                <w:b w:val="0"/>
                <w:lang w:eastAsia="en-NZ"/>
              </w:rPr>
              <w:t>The restraint meetings are held three-monthly and education to update staff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restraints in use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1"/>
        <w:gridCol w:w="1280"/>
        <w:gridCol w:w="5644"/>
        <w:gridCol w:w="2078"/>
        <w:gridCol w:w="2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documentation of individual assessments. There is inconsistent evidence that the PCCP and planned activities for dementia residents include a description of challenging behaviours and strategies and activities to minimise and manage these over a 24 hour period. Staff interviewed demonstrated a clear understanding of the dementia residents, challenging behaviours and management techniques.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and activities for residents with dementia do not reflect how challenging behaviours will be minimised or managed over a 24 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each resident in the dementia unit has a care plan that reflects management of challenging behaviours including minimisation and management strategies over a 24 hour period.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Eversley Rest Home and Village</w:t>
    </w:r>
    <w:bookmarkEnd w:id="58"/>
    <w:r>
      <w:rPr>
        <w:rFonts w:cs="Arial"/>
        <w:sz w:val="16"/>
        <w:szCs w:val="20"/>
      </w:rPr>
      <w:tab/>
      <w:t xml:space="preserve">Date of Audit: </w:t>
    </w:r>
    <w:bookmarkStart w:id="59" w:name="AuditStartDate1"/>
    <w:r>
      <w:rPr>
        <w:rFonts w:cs="Arial"/>
        <w:sz w:val="16"/>
        <w:szCs w:val="20"/>
      </w:rPr>
      <w:t>15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