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82E5" w14:textId="77777777" w:rsidR="00460D43" w:rsidRDefault="00204C19">
      <w:pPr>
        <w:pStyle w:val="Heading1"/>
        <w:rPr>
          <w:rFonts w:cs="Arial"/>
        </w:rPr>
      </w:pPr>
      <w:bookmarkStart w:id="0" w:name="PRMS_RIName"/>
      <w:r>
        <w:rPr>
          <w:rFonts w:cs="Arial"/>
        </w:rPr>
        <w:t>West Coast District Health Board</w:t>
      </w:r>
      <w:bookmarkEnd w:id="0"/>
    </w:p>
    <w:p w14:paraId="41794B68" w14:textId="77777777" w:rsidR="00460D43" w:rsidRDefault="00204C19">
      <w:pPr>
        <w:pStyle w:val="Heading2"/>
        <w:spacing w:after="0"/>
        <w:rPr>
          <w:rFonts w:cs="Arial"/>
        </w:rPr>
      </w:pPr>
      <w:r>
        <w:rPr>
          <w:rFonts w:cs="Arial"/>
        </w:rPr>
        <w:t>Introduction</w:t>
      </w:r>
    </w:p>
    <w:p w14:paraId="654EA1CE" w14:textId="77777777" w:rsidR="00460D43" w:rsidRDefault="00204C1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14A2518D" w14:textId="77777777" w:rsidR="00460D43" w:rsidRDefault="00204C19">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21F4F69" w14:textId="77777777" w:rsidR="00460D43" w:rsidRDefault="00204C1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6364A08" w14:textId="77777777" w:rsidR="00460D43" w:rsidRDefault="00204C19"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1BC2FB69" w14:textId="77777777" w:rsidR="00460D43" w:rsidRDefault="00204C19">
      <w:pPr>
        <w:spacing w:before="240" w:after="240"/>
        <w:rPr>
          <w:rFonts w:cs="Arial"/>
          <w:lang w:eastAsia="en-NZ"/>
        </w:rPr>
      </w:pPr>
      <w:r>
        <w:rPr>
          <w:rFonts w:cs="Arial"/>
          <w:lang w:eastAsia="en-NZ"/>
        </w:rPr>
        <w:t>The specifics of this audit included:</w:t>
      </w:r>
    </w:p>
    <w:p w14:paraId="2233B134" w14:textId="77777777" w:rsidR="009D18F5" w:rsidRPr="009D18F5" w:rsidRDefault="006F71E1" w:rsidP="009D18F5">
      <w:pPr>
        <w:pBdr>
          <w:top w:val="single" w:sz="4" w:space="1" w:color="auto"/>
          <w:left w:val="single" w:sz="4" w:space="4" w:color="auto"/>
          <w:bottom w:val="single" w:sz="4" w:space="1" w:color="auto"/>
          <w:right w:val="single" w:sz="4" w:space="4" w:color="auto"/>
        </w:pBdr>
        <w:rPr>
          <w:rFonts w:cs="Arial"/>
        </w:rPr>
      </w:pPr>
    </w:p>
    <w:p w14:paraId="3421EB5D" w14:textId="77777777" w:rsidR="005A5115" w:rsidRPr="009418D4" w:rsidRDefault="00204C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 Coast District Health Board</w:t>
      </w:r>
      <w:bookmarkEnd w:id="4"/>
    </w:p>
    <w:p w14:paraId="144F0F9A" w14:textId="77777777" w:rsidR="005A5115" w:rsidRPr="009418D4" w:rsidRDefault="00204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Grey Base Hospital</w:t>
      </w:r>
      <w:bookmarkEnd w:id="5"/>
    </w:p>
    <w:p w14:paraId="38163EFE" w14:textId="77777777" w:rsidR="005A5115" w:rsidRPr="009418D4" w:rsidRDefault="00204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Mental health services; Hospital services - Geriatric services (excl. psychogeriatric); Hospital services - Children's health services; Dementia care; Hospital services - Surgical services; Hospital services - Maternity services</w:t>
      </w:r>
      <w:bookmarkEnd w:id="6"/>
    </w:p>
    <w:p w14:paraId="487B6B04" w14:textId="77777777" w:rsidR="005A5115" w:rsidRPr="009418D4" w:rsidRDefault="00204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September 2020</w:t>
      </w:r>
      <w:bookmarkEnd w:id="7"/>
      <w:r w:rsidRPr="009418D4">
        <w:rPr>
          <w:rFonts w:cs="Arial"/>
        </w:rPr>
        <w:tab/>
        <w:t xml:space="preserve">End date: </w:t>
      </w:r>
      <w:bookmarkStart w:id="8" w:name="AuditEndDate"/>
      <w:r>
        <w:rPr>
          <w:rFonts w:cs="Arial"/>
        </w:rPr>
        <w:t>24 September 2020</w:t>
      </w:r>
      <w:bookmarkEnd w:id="8"/>
    </w:p>
    <w:p w14:paraId="41C56300" w14:textId="77777777" w:rsidR="005A5115" w:rsidRPr="009418D4" w:rsidRDefault="00204C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73DC14" w14:textId="77777777" w:rsidR="00D47034" w:rsidRPr="009418D4" w:rsidRDefault="00204C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13CEC662" w14:textId="77777777" w:rsidR="009D18F5" w:rsidRDefault="006F71E1" w:rsidP="009D18F5">
      <w:pPr>
        <w:pBdr>
          <w:top w:val="single" w:sz="4" w:space="1" w:color="auto"/>
          <w:left w:val="single" w:sz="4" w:space="4" w:color="auto"/>
          <w:bottom w:val="single" w:sz="4" w:space="1" w:color="auto"/>
          <w:right w:val="single" w:sz="4" w:space="4" w:color="auto"/>
        </w:pBdr>
        <w:rPr>
          <w:rFonts w:cs="Arial"/>
          <w:lang w:eastAsia="en-NZ"/>
        </w:rPr>
      </w:pPr>
    </w:p>
    <w:p w14:paraId="7E9D4C47" w14:textId="77777777" w:rsidR="00460D43" w:rsidRDefault="00204C19">
      <w:pPr>
        <w:pStyle w:val="Heading1"/>
        <w:rPr>
          <w:rFonts w:cs="Arial"/>
        </w:rPr>
      </w:pPr>
      <w:r>
        <w:rPr>
          <w:rFonts w:cs="Arial"/>
        </w:rPr>
        <w:lastRenderedPageBreak/>
        <w:t>Executive summary of the audit</w:t>
      </w:r>
    </w:p>
    <w:p w14:paraId="73844636" w14:textId="77777777" w:rsidR="00460D43" w:rsidRDefault="00204C19">
      <w:pPr>
        <w:pStyle w:val="Heading2"/>
        <w:rPr>
          <w:rFonts w:cs="Arial"/>
        </w:rPr>
      </w:pPr>
      <w:r>
        <w:rPr>
          <w:rFonts w:cs="Arial"/>
        </w:rPr>
        <w:t>Introduction</w:t>
      </w:r>
    </w:p>
    <w:p w14:paraId="348680BA" w14:textId="77777777" w:rsidR="00460D43" w:rsidRDefault="00204C1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70523D5" w14:textId="77777777" w:rsidR="00460D43" w:rsidRDefault="00204C19">
      <w:pPr>
        <w:pStyle w:val="ListParagraph"/>
        <w:numPr>
          <w:ilvl w:val="0"/>
          <w:numId w:val="1"/>
        </w:numPr>
        <w:spacing w:before="240" w:after="240"/>
        <w:rPr>
          <w:rFonts w:cs="Arial"/>
          <w:lang w:eastAsia="en-NZ"/>
        </w:rPr>
      </w:pPr>
      <w:r>
        <w:rPr>
          <w:rFonts w:cs="Arial"/>
          <w:lang w:eastAsia="en-NZ"/>
        </w:rPr>
        <w:t>consumer rights</w:t>
      </w:r>
    </w:p>
    <w:p w14:paraId="0B3C6811" w14:textId="77777777" w:rsidR="00460D43" w:rsidRDefault="00204C19">
      <w:pPr>
        <w:pStyle w:val="ListParagraph"/>
        <w:numPr>
          <w:ilvl w:val="0"/>
          <w:numId w:val="1"/>
        </w:numPr>
        <w:spacing w:before="240" w:after="240"/>
        <w:rPr>
          <w:rFonts w:cs="Arial"/>
          <w:lang w:eastAsia="en-NZ"/>
        </w:rPr>
      </w:pPr>
      <w:r>
        <w:rPr>
          <w:rFonts w:cs="Arial"/>
          <w:lang w:eastAsia="en-NZ"/>
        </w:rPr>
        <w:t>organisational management</w:t>
      </w:r>
    </w:p>
    <w:p w14:paraId="277104CE" w14:textId="77777777" w:rsidR="00460D43" w:rsidRDefault="00204C19">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5D22841" w14:textId="77777777" w:rsidR="00460D43" w:rsidRDefault="00204C19">
      <w:pPr>
        <w:pStyle w:val="ListParagraph"/>
        <w:numPr>
          <w:ilvl w:val="0"/>
          <w:numId w:val="1"/>
        </w:numPr>
        <w:spacing w:before="240" w:after="240"/>
        <w:rPr>
          <w:rFonts w:cs="Arial"/>
          <w:lang w:eastAsia="en-NZ"/>
        </w:rPr>
      </w:pPr>
      <w:r>
        <w:rPr>
          <w:rFonts w:cs="Arial"/>
          <w:lang w:eastAsia="en-NZ"/>
        </w:rPr>
        <w:t>safe and appropriate environment</w:t>
      </w:r>
    </w:p>
    <w:p w14:paraId="5A5F2226" w14:textId="77777777" w:rsidR="00460D43" w:rsidRDefault="00204C19">
      <w:pPr>
        <w:pStyle w:val="ListParagraph"/>
        <w:numPr>
          <w:ilvl w:val="0"/>
          <w:numId w:val="1"/>
        </w:numPr>
        <w:spacing w:before="240" w:after="240"/>
        <w:rPr>
          <w:rFonts w:cs="Arial"/>
          <w:lang w:eastAsia="en-NZ"/>
        </w:rPr>
      </w:pPr>
      <w:r>
        <w:rPr>
          <w:rFonts w:cs="Arial"/>
          <w:lang w:eastAsia="en-NZ"/>
        </w:rPr>
        <w:t>restraint minimisation and safe practice</w:t>
      </w:r>
    </w:p>
    <w:p w14:paraId="0EADF229" w14:textId="77777777" w:rsidR="00460D43" w:rsidRDefault="00204C19">
      <w:pPr>
        <w:pStyle w:val="ListParagraph"/>
        <w:numPr>
          <w:ilvl w:val="0"/>
          <w:numId w:val="1"/>
        </w:numPr>
        <w:spacing w:before="240" w:after="240"/>
        <w:rPr>
          <w:rFonts w:cs="Arial"/>
          <w:lang w:eastAsia="en-NZ"/>
        </w:rPr>
      </w:pPr>
      <w:r>
        <w:rPr>
          <w:rFonts w:cs="Arial"/>
          <w:lang w:eastAsia="en-NZ"/>
        </w:rPr>
        <w:t>infection prevention and control.</w:t>
      </w:r>
    </w:p>
    <w:p w14:paraId="2C185CC7" w14:textId="77777777" w:rsidR="00460D43" w:rsidRDefault="00204C19">
      <w:pPr>
        <w:pStyle w:val="Heading2"/>
        <w:spacing w:after="0"/>
        <w:rPr>
          <w:rFonts w:cs="Arial"/>
        </w:rPr>
      </w:pPr>
      <w:bookmarkStart w:id="11" w:name="_GoBack"/>
      <w:bookmarkEnd w:id="11"/>
      <w:r>
        <w:rPr>
          <w:rFonts w:cs="Arial"/>
        </w:rPr>
        <w:t>General overview of the audit</w:t>
      </w:r>
    </w:p>
    <w:p w14:paraId="3DAC00E8" w14:textId="77777777" w:rsidR="00E536CC" w:rsidRDefault="00204C19">
      <w:pPr>
        <w:spacing w:before="240" w:line="276" w:lineRule="auto"/>
        <w:rPr>
          <w:rFonts w:eastAsia="Calibri"/>
        </w:rPr>
      </w:pPr>
      <w:bookmarkStart w:id="12" w:name="GeneralOverview"/>
      <w:r w:rsidRPr="00A4268A">
        <w:rPr>
          <w:rFonts w:eastAsia="Calibri"/>
        </w:rPr>
        <w:t>West Coast District Health Board provides health services to the people of the West Coast region.</w:t>
      </w:r>
    </w:p>
    <w:p w14:paraId="0AAB8A1E" w14:textId="77777777" w:rsidR="00D47034" w:rsidRPr="00A4268A" w:rsidRDefault="00204C19">
      <w:pPr>
        <w:spacing w:before="240" w:line="276" w:lineRule="auto"/>
        <w:rPr>
          <w:rFonts w:eastAsia="Calibri"/>
        </w:rPr>
      </w:pPr>
      <w:r w:rsidRPr="00A4268A">
        <w:rPr>
          <w:rFonts w:eastAsia="Calibri"/>
        </w:rPr>
        <w:t>The audit team was provided with a self-assessment with supporting evidence prior to the on-site audit. Six individual tracers and four system tracers were undertaken during the on-site audit.</w:t>
      </w:r>
    </w:p>
    <w:p w14:paraId="71DE5F76" w14:textId="77777777" w:rsidR="00D47034" w:rsidRPr="00A4268A" w:rsidRDefault="00204C19">
      <w:pPr>
        <w:spacing w:before="240" w:line="276" w:lineRule="auto"/>
        <w:rPr>
          <w:rFonts w:eastAsia="Calibri"/>
        </w:rPr>
      </w:pPr>
      <w:r w:rsidRPr="00A4268A">
        <w:rPr>
          <w:rFonts w:eastAsia="Calibri"/>
        </w:rPr>
        <w:t xml:space="preserve">The West Coast District Health Board migrated inpatient health services from the Greymouth Base Hospital to Te Nikau Hospital in July 2020. The mental health service (Manaakitanga) and older persons service (Kahurangi) continue to provide services from Greymouth Base Hospital co-located with Te Nikau Hospital.  </w:t>
      </w:r>
    </w:p>
    <w:p w14:paraId="7B012567" w14:textId="77777777" w:rsidR="00D47034" w:rsidRPr="00A4268A" w:rsidRDefault="00204C19">
      <w:pPr>
        <w:spacing w:before="240" w:line="276" w:lineRule="auto"/>
        <w:rPr>
          <w:rFonts w:eastAsia="Calibri"/>
        </w:rPr>
      </w:pPr>
      <w:r w:rsidRPr="00A4268A">
        <w:rPr>
          <w:rFonts w:eastAsia="Calibri"/>
        </w:rPr>
        <w:t>Improvements required from the previous certification and partial provisional audits relating to compliance, fire safety, restraint, physical environment, development planning, orientation/induction, mandatory training and planned activities in mental health have been closed.</w:t>
      </w:r>
    </w:p>
    <w:p w14:paraId="7604E437" w14:textId="77777777" w:rsidR="00D47034" w:rsidRPr="00A4268A" w:rsidRDefault="00204C19">
      <w:pPr>
        <w:spacing w:before="240" w:line="276" w:lineRule="auto"/>
        <w:rPr>
          <w:rFonts w:eastAsia="Calibri"/>
        </w:rPr>
      </w:pPr>
      <w:r w:rsidRPr="00A4268A">
        <w:rPr>
          <w:rFonts w:eastAsia="Calibri"/>
        </w:rPr>
        <w:lastRenderedPageBreak/>
        <w:t xml:space="preserve">Improvements required from the previous February 2019 certification and June 2020 partial provisional audits relating to; resuscitation status documentation, medication management and infection control remain open. </w:t>
      </w:r>
    </w:p>
    <w:p w14:paraId="34B3FF4D" w14:textId="77777777" w:rsidR="00D47034" w:rsidRPr="00A4268A" w:rsidRDefault="00204C19">
      <w:pPr>
        <w:spacing w:before="240" w:line="276" w:lineRule="auto"/>
        <w:rPr>
          <w:rFonts w:eastAsia="Calibri"/>
        </w:rPr>
      </w:pPr>
      <w:r w:rsidRPr="00A4268A">
        <w:rPr>
          <w:rFonts w:eastAsia="Calibri"/>
        </w:rPr>
        <w:t>There are new improvements arising from this audit relating to service delivery in Kahurangi, nursing assessments (excluding mental health and maternity), patient goal development, nursing interventions and evaluation documentation, adherence to early warning score policy and equipment.</w:t>
      </w:r>
    </w:p>
    <w:bookmarkEnd w:id="12"/>
    <w:p w14:paraId="78560768" w14:textId="77777777" w:rsidR="00D47034" w:rsidRPr="00A4268A" w:rsidRDefault="00D47034">
      <w:pPr>
        <w:spacing w:before="240" w:line="276" w:lineRule="auto"/>
        <w:rPr>
          <w:rFonts w:eastAsia="Calibri"/>
        </w:rPr>
      </w:pPr>
    </w:p>
    <w:p w14:paraId="17672A34" w14:textId="77777777" w:rsidR="00460D43" w:rsidRDefault="00204C19" w:rsidP="000E6E02">
      <w:pPr>
        <w:pStyle w:val="Heading2"/>
        <w:spacing w:before="0"/>
        <w:rPr>
          <w:rFonts w:cs="Arial"/>
        </w:rPr>
      </w:pPr>
      <w:r>
        <w:rPr>
          <w:rFonts w:cs="Arial"/>
        </w:rPr>
        <w:t>Consumer rights</w:t>
      </w:r>
    </w:p>
    <w:p w14:paraId="5E473650" w14:textId="77777777" w:rsidR="00460D43" w:rsidRDefault="00204C19">
      <w:pPr>
        <w:spacing w:before="240" w:line="276" w:lineRule="auto"/>
        <w:rPr>
          <w:rFonts w:eastAsia="Calibri"/>
        </w:rPr>
      </w:pPr>
      <w:bookmarkStart w:id="13" w:name="ConsumerRights"/>
      <w:r w:rsidRPr="00A4268A">
        <w:rPr>
          <w:rFonts w:eastAsia="Calibri"/>
        </w:rPr>
        <w:t>Information about the Health and Disability Commissioner’s Code of Health and the Disability Services Consumers’ Rights is made available on admission and on request. Patients’ clinical records and interviews confirmed that there is information available to enable informed decision making and that patients have access to advocacy and interpreter services.</w:t>
      </w:r>
    </w:p>
    <w:p w14:paraId="6CFB7A12" w14:textId="77777777" w:rsidR="00D47034" w:rsidRPr="00A4268A" w:rsidRDefault="00204C19">
      <w:pPr>
        <w:spacing w:before="240" w:line="276" w:lineRule="auto"/>
        <w:rPr>
          <w:rFonts w:eastAsia="Calibri"/>
        </w:rPr>
      </w:pPr>
      <w:r w:rsidRPr="00A4268A">
        <w:rPr>
          <w:rFonts w:eastAsia="Calibri"/>
        </w:rPr>
        <w:t xml:space="preserve">Interviews confirmed patients felt they are treated with dignity and respect. </w:t>
      </w:r>
    </w:p>
    <w:p w14:paraId="0686EAAC" w14:textId="77777777" w:rsidR="00D47034" w:rsidRPr="00A4268A" w:rsidRDefault="00204C19">
      <w:pPr>
        <w:spacing w:before="240" w:line="276" w:lineRule="auto"/>
        <w:rPr>
          <w:rFonts w:eastAsia="Calibri"/>
        </w:rPr>
      </w:pPr>
      <w:r w:rsidRPr="00A4268A">
        <w:rPr>
          <w:rFonts w:eastAsia="Calibri"/>
        </w:rPr>
        <w:t>The complaints process is accessible and complies with Right 10 of the Health and Disability Code of Consumer Rights.</w:t>
      </w:r>
    </w:p>
    <w:bookmarkEnd w:id="13"/>
    <w:p w14:paraId="00E56BC8" w14:textId="77777777" w:rsidR="00D47034" w:rsidRPr="00A4268A" w:rsidRDefault="00D47034">
      <w:pPr>
        <w:spacing w:before="240" w:line="276" w:lineRule="auto"/>
        <w:rPr>
          <w:rFonts w:eastAsia="Calibri"/>
        </w:rPr>
      </w:pPr>
    </w:p>
    <w:p w14:paraId="7C6479F8" w14:textId="77777777" w:rsidR="00460D43" w:rsidRDefault="00204C19" w:rsidP="000E6E02">
      <w:pPr>
        <w:pStyle w:val="Heading2"/>
        <w:spacing w:before="0"/>
        <w:rPr>
          <w:rFonts w:cs="Arial"/>
        </w:rPr>
      </w:pPr>
      <w:r>
        <w:rPr>
          <w:rFonts w:cs="Arial"/>
        </w:rPr>
        <w:t>Organisational management</w:t>
      </w:r>
    </w:p>
    <w:p w14:paraId="4B747156" w14:textId="77777777" w:rsidR="00460D43" w:rsidRDefault="00204C19">
      <w:pPr>
        <w:spacing w:before="240" w:line="276" w:lineRule="auto"/>
        <w:rPr>
          <w:rFonts w:eastAsia="Calibri"/>
        </w:rPr>
      </w:pPr>
      <w:bookmarkStart w:id="14" w:name="OrganisationalManagement"/>
      <w:r w:rsidRPr="00A4268A">
        <w:rPr>
          <w:rFonts w:eastAsia="Calibri"/>
        </w:rPr>
        <w:t>The West Coast District Health Board sets a clear direction for the organisation. A joint acting chief executive with the Canterbury District Health Board, and mixed West Coast District Heath Board and Canterbury District Health Board executive management team provide leadership as part of the trans alpine agreement. Documents reviewed, and interviews undertaken confirmed risks are reviewed at Board level and mitigation strategies are monitored.</w:t>
      </w:r>
    </w:p>
    <w:p w14:paraId="4D2CC164" w14:textId="77777777" w:rsidR="00D47034" w:rsidRPr="00A4268A" w:rsidRDefault="00204C19">
      <w:pPr>
        <w:spacing w:before="240" w:line="276" w:lineRule="auto"/>
        <w:rPr>
          <w:rFonts w:eastAsia="Calibri"/>
        </w:rPr>
      </w:pPr>
      <w:r w:rsidRPr="00A4268A">
        <w:rPr>
          <w:rFonts w:eastAsia="Calibri"/>
        </w:rPr>
        <w:t>The West Coast District Health Board has a risk management system and staff are aware of the risks facing the organisation. Incidents, events, significant events and complaints are reported electronically and managed. Significant events are investigated and open disclosure to patients and their families is practised.</w:t>
      </w:r>
    </w:p>
    <w:p w14:paraId="4903E84D" w14:textId="77777777" w:rsidR="00D47034" w:rsidRPr="00A4268A" w:rsidRDefault="00204C19">
      <w:pPr>
        <w:spacing w:before="240" w:line="276" w:lineRule="auto"/>
        <w:rPr>
          <w:rFonts w:eastAsia="Calibri"/>
        </w:rPr>
      </w:pPr>
      <w:r w:rsidRPr="00A4268A">
        <w:rPr>
          <w:rFonts w:eastAsia="Calibri"/>
        </w:rPr>
        <w:lastRenderedPageBreak/>
        <w:t>Human resource management supports managers across the organisation. Staff discussed the processes that are in place to review professional qualifications, registration and scopes of practice. Credentialing of medical staff occurs.</w:t>
      </w:r>
    </w:p>
    <w:p w14:paraId="35F3BD0C" w14:textId="77777777" w:rsidR="00D47034" w:rsidRPr="00A4268A" w:rsidRDefault="00204C19">
      <w:pPr>
        <w:spacing w:before="240" w:line="276" w:lineRule="auto"/>
        <w:rPr>
          <w:rFonts w:eastAsia="Calibri"/>
        </w:rPr>
      </w:pPr>
      <w:r w:rsidRPr="00A4268A">
        <w:rPr>
          <w:rFonts w:eastAsia="Calibri"/>
        </w:rPr>
        <w:t>The inpatient service is provided by a skilled workforce and coordinated to ensure safe staffing across all sites.</w:t>
      </w:r>
    </w:p>
    <w:bookmarkEnd w:id="14"/>
    <w:p w14:paraId="62A83E7D" w14:textId="77777777" w:rsidR="00D47034" w:rsidRPr="00A4268A" w:rsidRDefault="00D47034">
      <w:pPr>
        <w:spacing w:before="240" w:line="276" w:lineRule="auto"/>
        <w:rPr>
          <w:rFonts w:eastAsia="Calibri"/>
        </w:rPr>
      </w:pPr>
    </w:p>
    <w:p w14:paraId="6B722609" w14:textId="77777777" w:rsidR="00460D43" w:rsidRDefault="00204C19" w:rsidP="000E6E02">
      <w:pPr>
        <w:pStyle w:val="Heading2"/>
        <w:spacing w:before="0"/>
        <w:rPr>
          <w:rFonts w:cs="Arial"/>
        </w:rPr>
      </w:pPr>
      <w:r>
        <w:rPr>
          <w:rFonts w:cs="Arial"/>
        </w:rPr>
        <w:t>Continuum of service delivery</w:t>
      </w:r>
    </w:p>
    <w:p w14:paraId="27A07230" w14:textId="77777777" w:rsidR="00E536CC" w:rsidRPr="005E14A4" w:rsidRDefault="00204C19" w:rsidP="00621629">
      <w:pPr>
        <w:spacing w:before="240" w:line="276" w:lineRule="auto"/>
        <w:rPr>
          <w:rFonts w:eastAsia="Calibri"/>
        </w:rPr>
      </w:pPr>
      <w:bookmarkStart w:id="15" w:name="ContinuumOfServiceDelivery"/>
      <w:r w:rsidRPr="00A4268A">
        <w:rPr>
          <w:rFonts w:eastAsia="Calibri"/>
        </w:rPr>
        <w:t xml:space="preserve">The West Coast District Health Board has a model of care designed to provide an accessible service for the rural and remote population of people it serves. Staff are supported to engage in ongoing education to enable practice at an expanded level, facilitating integrated care. A strong partnership with the Canterbury District Health Board ensures specialist services are available when required, either via a visiting specialist, telehealth and patients being transferred to Christchurch as required. </w:t>
      </w:r>
    </w:p>
    <w:p w14:paraId="5149767A" w14:textId="77777777" w:rsidR="00D47034" w:rsidRPr="00A4268A" w:rsidRDefault="00204C19" w:rsidP="00621629">
      <w:pPr>
        <w:spacing w:before="240" w:line="276" w:lineRule="auto"/>
        <w:rPr>
          <w:rFonts w:eastAsia="Calibri"/>
        </w:rPr>
      </w:pPr>
      <w:r w:rsidRPr="00A4268A">
        <w:rPr>
          <w:rFonts w:eastAsia="Calibri"/>
        </w:rPr>
        <w:t xml:space="preserve">Six individual patient tracers were completed in the medical, surgical, child health, mental health, maternity and health of older persons services. Patient journeys reviewed demonstrated a team approach to patient care. Medical and nursing staff are available 24 hours a day, 7 days a week. Allied health professionals provide services on referral. Exit from the service occurs in a planned and coordinated manner. </w:t>
      </w:r>
    </w:p>
    <w:p w14:paraId="0A52F466" w14:textId="77777777" w:rsidR="00D47034" w:rsidRPr="00A4268A" w:rsidRDefault="00204C19" w:rsidP="00621629">
      <w:pPr>
        <w:spacing w:before="240" w:line="276" w:lineRule="auto"/>
        <w:rPr>
          <w:rFonts w:eastAsia="Calibri"/>
        </w:rPr>
      </w:pPr>
      <w:r w:rsidRPr="00A4268A">
        <w:rPr>
          <w:rFonts w:eastAsia="Calibri"/>
        </w:rPr>
        <w:t>Four systems tracers across the organisation were conducted and focused on medication management, infection prevention and control, deteriorating patient and falls prevention and management.</w:t>
      </w:r>
    </w:p>
    <w:p w14:paraId="2B76AADF" w14:textId="77777777" w:rsidR="00D47034" w:rsidRPr="00A4268A" w:rsidRDefault="00204C19" w:rsidP="00621629">
      <w:pPr>
        <w:spacing w:before="240" w:line="276" w:lineRule="auto"/>
        <w:rPr>
          <w:rFonts w:eastAsia="Calibri"/>
        </w:rPr>
      </w:pPr>
      <w:r w:rsidRPr="00A4268A">
        <w:rPr>
          <w:rFonts w:eastAsia="Calibri"/>
        </w:rPr>
        <w:t>The national medication charts are used for the prescribing and administration of medications. Pharmacists provide support to clinical services and to practitioners as required.</w:t>
      </w:r>
    </w:p>
    <w:bookmarkEnd w:id="15"/>
    <w:p w14:paraId="0286013C" w14:textId="77777777" w:rsidR="00D47034" w:rsidRPr="00A4268A" w:rsidRDefault="00D47034" w:rsidP="00621629">
      <w:pPr>
        <w:spacing w:before="240" w:line="276" w:lineRule="auto"/>
        <w:rPr>
          <w:rFonts w:eastAsia="Calibri"/>
        </w:rPr>
      </w:pPr>
    </w:p>
    <w:p w14:paraId="69EA1490" w14:textId="77777777" w:rsidR="00460D43" w:rsidRDefault="00204C19" w:rsidP="000E6E02">
      <w:pPr>
        <w:pStyle w:val="Heading2"/>
        <w:spacing w:before="0"/>
        <w:rPr>
          <w:rFonts w:cs="Arial"/>
        </w:rPr>
      </w:pPr>
      <w:r>
        <w:rPr>
          <w:rFonts w:cs="Arial"/>
        </w:rPr>
        <w:t>Safe and appropriate environment</w:t>
      </w:r>
    </w:p>
    <w:p w14:paraId="7D2F9611" w14:textId="77777777" w:rsidR="00460D43" w:rsidRDefault="00204C19">
      <w:pPr>
        <w:spacing w:before="240" w:line="276" w:lineRule="auto"/>
        <w:rPr>
          <w:rFonts w:eastAsia="Calibri"/>
        </w:rPr>
      </w:pPr>
      <w:bookmarkStart w:id="16" w:name="SafeAndAppropriateEnvironment"/>
      <w:r w:rsidRPr="00A4268A">
        <w:rPr>
          <w:rFonts w:eastAsia="Calibri"/>
        </w:rPr>
        <w:t>The West Coast District Health Board inpatient buildings have a current building warrant of fitness. Discussion with staff confirmed the planned maintenance programme ensures all buildings and plant are managed safely including older buildings across the Greymouth site. The newly completed Te Nikau Hospital is fully operational.</w:t>
      </w:r>
    </w:p>
    <w:bookmarkEnd w:id="16"/>
    <w:p w14:paraId="259D0A3B" w14:textId="77777777" w:rsidR="00D47034" w:rsidRPr="00A4268A" w:rsidRDefault="00D47034">
      <w:pPr>
        <w:spacing w:before="240" w:line="276" w:lineRule="auto"/>
        <w:rPr>
          <w:rFonts w:eastAsia="Calibri"/>
        </w:rPr>
      </w:pPr>
    </w:p>
    <w:p w14:paraId="149E3D3F" w14:textId="77777777" w:rsidR="00460D43" w:rsidRDefault="00204C19" w:rsidP="000E6E02">
      <w:pPr>
        <w:pStyle w:val="Heading2"/>
        <w:spacing w:before="0"/>
        <w:rPr>
          <w:rFonts w:cs="Arial"/>
        </w:rPr>
      </w:pPr>
      <w:r>
        <w:rPr>
          <w:rFonts w:cs="Arial"/>
        </w:rPr>
        <w:t>Restraint minimisation and safe practice</w:t>
      </w:r>
    </w:p>
    <w:p w14:paraId="73399E50" w14:textId="77777777" w:rsidR="00460D43" w:rsidRDefault="00204C19">
      <w:pPr>
        <w:spacing w:before="240" w:line="276" w:lineRule="auto"/>
        <w:rPr>
          <w:rFonts w:eastAsia="Calibri"/>
        </w:rPr>
      </w:pPr>
      <w:bookmarkStart w:id="17" w:name="RestraintMinimisationAndSafePractice"/>
      <w:r w:rsidRPr="00A4268A">
        <w:rPr>
          <w:rFonts w:eastAsia="Calibri"/>
        </w:rPr>
        <w:t>The West Coast District Health Board has policies in place to guide restraint practice. Definitions align with the standards and safe practice is established across the organisation.</w:t>
      </w:r>
    </w:p>
    <w:p w14:paraId="047B5CAD" w14:textId="77777777" w:rsidR="00D47034" w:rsidRPr="00A4268A" w:rsidRDefault="00204C19">
      <w:pPr>
        <w:spacing w:before="240" w:line="276" w:lineRule="auto"/>
        <w:rPr>
          <w:rFonts w:eastAsia="Calibri"/>
        </w:rPr>
      </w:pPr>
      <w:r w:rsidRPr="00A4268A">
        <w:rPr>
          <w:rFonts w:eastAsia="Calibri"/>
        </w:rPr>
        <w:t>A restraint minimisation and safe practice procedure is available across both the general hospital, older persons’ and mental health services. Staff confirmed the reporting system captures incidents and allows staff to review each incident systematically.</w:t>
      </w:r>
    </w:p>
    <w:bookmarkEnd w:id="17"/>
    <w:p w14:paraId="0B9F04D6" w14:textId="77777777" w:rsidR="00D47034" w:rsidRPr="00A4268A" w:rsidRDefault="00D47034">
      <w:pPr>
        <w:spacing w:before="240" w:line="276" w:lineRule="auto"/>
        <w:rPr>
          <w:rFonts w:eastAsia="Calibri"/>
        </w:rPr>
      </w:pPr>
    </w:p>
    <w:p w14:paraId="6E892AC1" w14:textId="77777777" w:rsidR="00460D43" w:rsidRDefault="00204C19" w:rsidP="000E6E02">
      <w:pPr>
        <w:pStyle w:val="Heading2"/>
        <w:spacing w:before="0"/>
        <w:rPr>
          <w:rFonts w:cs="Arial"/>
        </w:rPr>
      </w:pPr>
      <w:r>
        <w:rPr>
          <w:rFonts w:cs="Arial"/>
        </w:rPr>
        <w:t>Infection prevention and control</w:t>
      </w:r>
    </w:p>
    <w:p w14:paraId="02AEED1D" w14:textId="77777777" w:rsidR="00460D43" w:rsidRDefault="00204C19">
      <w:pPr>
        <w:spacing w:before="240" w:line="276" w:lineRule="auto"/>
        <w:rPr>
          <w:rFonts w:eastAsia="Calibri"/>
        </w:rPr>
      </w:pPr>
      <w:bookmarkStart w:id="18" w:name="InfectionPreventionAndControl"/>
      <w:r w:rsidRPr="00A4268A">
        <w:rPr>
          <w:rFonts w:eastAsia="Calibri"/>
        </w:rPr>
        <w:t>Infection prevention and control polices, and processes are in place and accessible to staff via the West Coast District Health Board intranet.</w:t>
      </w:r>
    </w:p>
    <w:p w14:paraId="0BCB26A6" w14:textId="77777777" w:rsidR="00D47034" w:rsidRPr="00A4268A" w:rsidRDefault="00204C19">
      <w:pPr>
        <w:spacing w:before="240" w:line="276" w:lineRule="auto"/>
        <w:rPr>
          <w:rFonts w:eastAsia="Calibri"/>
        </w:rPr>
      </w:pPr>
      <w:r w:rsidRPr="00A4268A">
        <w:rPr>
          <w:rFonts w:eastAsia="Calibri"/>
        </w:rPr>
        <w:t>Surveillance activities were reviewed that include audits and surgical site infection surveillance. There is communication on infection prevention and control measure across the organisation. Surveillance information is reported at the executive level.</w:t>
      </w:r>
    </w:p>
    <w:p w14:paraId="0B9668F2" w14:textId="77777777" w:rsidR="00D47034" w:rsidRPr="00A4268A" w:rsidRDefault="00204C19">
      <w:pPr>
        <w:spacing w:before="240" w:line="276" w:lineRule="auto"/>
        <w:rPr>
          <w:rFonts w:eastAsia="Calibri"/>
        </w:rPr>
      </w:pPr>
      <w:r w:rsidRPr="00A4268A">
        <w:rPr>
          <w:rFonts w:eastAsia="Calibri"/>
        </w:rPr>
        <w:t>An infection prevention and control tracer was undertaken of processes and management of patients multi drug resistant organism status and Covid-19.</w:t>
      </w:r>
    </w:p>
    <w:bookmarkEnd w:id="18"/>
    <w:p w14:paraId="2444CFF8" w14:textId="77777777" w:rsidR="00D47034" w:rsidRPr="00A4268A" w:rsidRDefault="00D47034">
      <w:pPr>
        <w:spacing w:before="240" w:line="276" w:lineRule="auto"/>
        <w:rPr>
          <w:rFonts w:eastAsia="Calibri"/>
        </w:rPr>
      </w:pPr>
    </w:p>
    <w:sectPr w:rsidR="00D47034"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C80E" w14:textId="77777777" w:rsidR="00C46E94" w:rsidRDefault="00204C19">
      <w:r>
        <w:separator/>
      </w:r>
    </w:p>
  </w:endnote>
  <w:endnote w:type="continuationSeparator" w:id="0">
    <w:p w14:paraId="5A6A47C5" w14:textId="77777777" w:rsidR="00C46E94" w:rsidRDefault="0020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B265" w14:textId="77777777" w:rsidR="000B00BC" w:rsidRDefault="006F71E1">
    <w:pPr>
      <w:pStyle w:val="Footer"/>
    </w:pPr>
  </w:p>
  <w:p w14:paraId="0237CD0C" w14:textId="77777777" w:rsidR="005A4A55" w:rsidRDefault="006F71E1"/>
  <w:p w14:paraId="31C1FEAE" w14:textId="77777777" w:rsidR="005A4A55" w:rsidRDefault="00204C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4560" w14:textId="77777777" w:rsidR="000B00BC" w:rsidRPr="000B00BC" w:rsidRDefault="00204C19"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West Coast District Health Board</w:t>
    </w:r>
    <w:bookmarkEnd w:id="19"/>
    <w:r>
      <w:rPr>
        <w:rFonts w:cs="Arial"/>
        <w:sz w:val="16"/>
        <w:szCs w:val="20"/>
      </w:rPr>
      <w:tab/>
      <w:t xml:space="preserve">Date of Audit: </w:t>
    </w:r>
    <w:bookmarkStart w:id="20" w:name="AuditStartDate1"/>
    <w:r>
      <w:rPr>
        <w:rFonts w:cs="Arial"/>
        <w:sz w:val="16"/>
        <w:szCs w:val="20"/>
      </w:rPr>
      <w:t>22 September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73300A" w14:textId="77777777" w:rsidR="005A4A55" w:rsidRDefault="006F71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FC3" w14:textId="77777777" w:rsidR="000B00BC" w:rsidRDefault="006F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2779" w14:textId="77777777" w:rsidR="00C46E94" w:rsidRDefault="00204C19">
      <w:r>
        <w:separator/>
      </w:r>
    </w:p>
  </w:footnote>
  <w:footnote w:type="continuationSeparator" w:id="0">
    <w:p w14:paraId="3C4CEC68" w14:textId="77777777" w:rsidR="00C46E94" w:rsidRDefault="0020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6A3B" w14:textId="77777777" w:rsidR="000B00BC" w:rsidRDefault="006F71E1">
    <w:pPr>
      <w:pStyle w:val="Header"/>
    </w:pPr>
  </w:p>
  <w:p w14:paraId="6406252F" w14:textId="77777777" w:rsidR="005A4A55" w:rsidRDefault="006F7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B965" w14:textId="77777777" w:rsidR="000B00BC" w:rsidRDefault="006F71E1">
    <w:pPr>
      <w:pStyle w:val="Header"/>
    </w:pPr>
  </w:p>
  <w:p w14:paraId="410205D9" w14:textId="77777777" w:rsidR="005A4A55" w:rsidRDefault="006F71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E001" w14:textId="77777777" w:rsidR="000B00BC" w:rsidRDefault="006F7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A4A18FE">
      <w:start w:val="1"/>
      <w:numFmt w:val="decimal"/>
      <w:lvlText w:val="%1."/>
      <w:lvlJc w:val="left"/>
      <w:pPr>
        <w:ind w:left="360" w:hanging="360"/>
      </w:pPr>
    </w:lvl>
    <w:lvl w:ilvl="1" w:tplc="2062B532" w:tentative="1">
      <w:start w:val="1"/>
      <w:numFmt w:val="lowerLetter"/>
      <w:lvlText w:val="%2."/>
      <w:lvlJc w:val="left"/>
      <w:pPr>
        <w:ind w:left="1080" w:hanging="360"/>
      </w:pPr>
    </w:lvl>
    <w:lvl w:ilvl="2" w:tplc="EB28077E" w:tentative="1">
      <w:start w:val="1"/>
      <w:numFmt w:val="lowerRoman"/>
      <w:lvlText w:val="%3."/>
      <w:lvlJc w:val="right"/>
      <w:pPr>
        <w:ind w:left="1800" w:hanging="180"/>
      </w:pPr>
    </w:lvl>
    <w:lvl w:ilvl="3" w:tplc="DB6C6404" w:tentative="1">
      <w:start w:val="1"/>
      <w:numFmt w:val="decimal"/>
      <w:lvlText w:val="%4."/>
      <w:lvlJc w:val="left"/>
      <w:pPr>
        <w:ind w:left="2520" w:hanging="360"/>
      </w:pPr>
    </w:lvl>
    <w:lvl w:ilvl="4" w:tplc="647C7944" w:tentative="1">
      <w:start w:val="1"/>
      <w:numFmt w:val="lowerLetter"/>
      <w:lvlText w:val="%5."/>
      <w:lvlJc w:val="left"/>
      <w:pPr>
        <w:ind w:left="3240" w:hanging="360"/>
      </w:pPr>
    </w:lvl>
    <w:lvl w:ilvl="5" w:tplc="9C201BCE" w:tentative="1">
      <w:start w:val="1"/>
      <w:numFmt w:val="lowerRoman"/>
      <w:lvlText w:val="%6."/>
      <w:lvlJc w:val="right"/>
      <w:pPr>
        <w:ind w:left="3960" w:hanging="180"/>
      </w:pPr>
    </w:lvl>
    <w:lvl w:ilvl="6" w:tplc="1ECA7F66" w:tentative="1">
      <w:start w:val="1"/>
      <w:numFmt w:val="decimal"/>
      <w:lvlText w:val="%7."/>
      <w:lvlJc w:val="left"/>
      <w:pPr>
        <w:ind w:left="4680" w:hanging="360"/>
      </w:pPr>
    </w:lvl>
    <w:lvl w:ilvl="7" w:tplc="C9D44D8C" w:tentative="1">
      <w:start w:val="1"/>
      <w:numFmt w:val="lowerLetter"/>
      <w:lvlText w:val="%8."/>
      <w:lvlJc w:val="left"/>
      <w:pPr>
        <w:ind w:left="5400" w:hanging="360"/>
      </w:pPr>
    </w:lvl>
    <w:lvl w:ilvl="8" w:tplc="519A17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4AEC02">
      <w:start w:val="1"/>
      <w:numFmt w:val="bullet"/>
      <w:lvlText w:val=""/>
      <w:lvlJc w:val="left"/>
      <w:pPr>
        <w:ind w:left="720" w:hanging="360"/>
      </w:pPr>
      <w:rPr>
        <w:rFonts w:ascii="Symbol" w:hAnsi="Symbol" w:hint="default"/>
      </w:rPr>
    </w:lvl>
    <w:lvl w:ilvl="1" w:tplc="BCC69BAC" w:tentative="1">
      <w:start w:val="1"/>
      <w:numFmt w:val="bullet"/>
      <w:lvlText w:val="o"/>
      <w:lvlJc w:val="left"/>
      <w:pPr>
        <w:ind w:left="1440" w:hanging="360"/>
      </w:pPr>
      <w:rPr>
        <w:rFonts w:ascii="Courier New" w:hAnsi="Courier New" w:cs="Courier New" w:hint="default"/>
      </w:rPr>
    </w:lvl>
    <w:lvl w:ilvl="2" w:tplc="7BA01228" w:tentative="1">
      <w:start w:val="1"/>
      <w:numFmt w:val="bullet"/>
      <w:lvlText w:val=""/>
      <w:lvlJc w:val="left"/>
      <w:pPr>
        <w:ind w:left="2160" w:hanging="360"/>
      </w:pPr>
      <w:rPr>
        <w:rFonts w:ascii="Wingdings" w:hAnsi="Wingdings" w:hint="default"/>
      </w:rPr>
    </w:lvl>
    <w:lvl w:ilvl="3" w:tplc="F418CAC8" w:tentative="1">
      <w:start w:val="1"/>
      <w:numFmt w:val="bullet"/>
      <w:lvlText w:val=""/>
      <w:lvlJc w:val="left"/>
      <w:pPr>
        <w:ind w:left="2880" w:hanging="360"/>
      </w:pPr>
      <w:rPr>
        <w:rFonts w:ascii="Symbol" w:hAnsi="Symbol" w:hint="default"/>
      </w:rPr>
    </w:lvl>
    <w:lvl w:ilvl="4" w:tplc="18C825D0" w:tentative="1">
      <w:start w:val="1"/>
      <w:numFmt w:val="bullet"/>
      <w:lvlText w:val="o"/>
      <w:lvlJc w:val="left"/>
      <w:pPr>
        <w:ind w:left="3600" w:hanging="360"/>
      </w:pPr>
      <w:rPr>
        <w:rFonts w:ascii="Courier New" w:hAnsi="Courier New" w:cs="Courier New" w:hint="default"/>
      </w:rPr>
    </w:lvl>
    <w:lvl w:ilvl="5" w:tplc="03C27C5C" w:tentative="1">
      <w:start w:val="1"/>
      <w:numFmt w:val="bullet"/>
      <w:lvlText w:val=""/>
      <w:lvlJc w:val="left"/>
      <w:pPr>
        <w:ind w:left="4320" w:hanging="360"/>
      </w:pPr>
      <w:rPr>
        <w:rFonts w:ascii="Wingdings" w:hAnsi="Wingdings" w:hint="default"/>
      </w:rPr>
    </w:lvl>
    <w:lvl w:ilvl="6" w:tplc="70142B1A" w:tentative="1">
      <w:start w:val="1"/>
      <w:numFmt w:val="bullet"/>
      <w:lvlText w:val=""/>
      <w:lvlJc w:val="left"/>
      <w:pPr>
        <w:ind w:left="5040" w:hanging="360"/>
      </w:pPr>
      <w:rPr>
        <w:rFonts w:ascii="Symbol" w:hAnsi="Symbol" w:hint="default"/>
      </w:rPr>
    </w:lvl>
    <w:lvl w:ilvl="7" w:tplc="0ECC29A6" w:tentative="1">
      <w:start w:val="1"/>
      <w:numFmt w:val="bullet"/>
      <w:lvlText w:val="o"/>
      <w:lvlJc w:val="left"/>
      <w:pPr>
        <w:ind w:left="5760" w:hanging="360"/>
      </w:pPr>
      <w:rPr>
        <w:rFonts w:ascii="Courier New" w:hAnsi="Courier New" w:cs="Courier New" w:hint="default"/>
      </w:rPr>
    </w:lvl>
    <w:lvl w:ilvl="8" w:tplc="410273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34"/>
    <w:rsid w:val="00204C19"/>
    <w:rsid w:val="006F71E1"/>
    <w:rsid w:val="00712370"/>
    <w:rsid w:val="00837601"/>
    <w:rsid w:val="00C46E94"/>
    <w:rsid w:val="00D47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6516"/>
  <w15:docId w15:val="{AF420E80-14F3-417C-B830-37DD0154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E7CE-9879-41E4-9A6C-5086B3EDE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E9DFB-71CE-4FBC-965F-89DDFC5B3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A4C60-0DA6-4912-964E-E3EFDB0846F6}">
  <ds:schemaRefs>
    <ds:schemaRef ds:uri="http://schemas.microsoft.com/sharepoint/v3/contenttype/forms"/>
  </ds:schemaRefs>
</ds:datastoreItem>
</file>

<file path=customXml/itemProps4.xml><?xml version="1.0" encoding="utf-8"?>
<ds:datastoreItem xmlns:ds="http://schemas.openxmlformats.org/officeDocument/2006/customXml" ds:itemID="{8BE7EED6-D035-4CB6-84DA-E188CFF4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5</cp:revision>
  <dcterms:created xsi:type="dcterms:W3CDTF">2020-11-10T02:56:00Z</dcterms:created>
  <dcterms:modified xsi:type="dcterms:W3CDTF">2020-11-10T03:03:00Z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