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Parkwood Trust Incorporated</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Parkwood Trust Incorporated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Parkwood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6 October 2020</w:t>
      </w:r>
      <w:bookmarkEnd w:id="7"/>
      <w:r w:rsidRPr="009418D4">
        <w:rPr>
          <w:rFonts w:cs="Arial"/>
        </w:rPr>
        <w:tab/>
        <w:t xml:space="preserve">End date: </w:t>
      </w:r>
      <w:bookmarkStart w:id="8" w:name="AuditEndDate"/>
      <w:r w:rsidR="00A4268A">
        <w:rPr>
          <w:rFonts w:cs="Arial"/>
        </w:rPr>
        <w:t>6 October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Parkwood Retirement Village provides rest home and hospital level care for up to 88 residents. The service is operated by Parkwood Trust. The facility is managed by a general manager and a nurse manager. Residents and families spoke positively about the care provided.</w:t>
      </w:r>
    </w:p>
    <w:p w:rsidRPr="00A4268A">
      <w:pPr>
        <w:spacing w:before="240" w:line="276" w:lineRule="auto"/>
        <w:rPr>
          <w:rFonts w:eastAsia="Calibri"/>
        </w:rPr>
      </w:pPr>
      <w:r w:rsidRPr="00A4268A">
        <w:rPr>
          <w:rFonts w:eastAsia="Calibri"/>
        </w:rPr>
        <w:t>This surveillance audit was conducted against the Health and Disability Service Standards. The audit process included review of policies and procedures, review of residents’ and staff files, observations, and interviews with residents, family/whānau, management, staff and a general practitioner.</w:t>
      </w:r>
    </w:p>
    <w:p w:rsidRPr="00A4268A">
      <w:pPr>
        <w:spacing w:before="240" w:line="276" w:lineRule="auto"/>
        <w:rPr>
          <w:rFonts w:eastAsia="Calibri"/>
        </w:rPr>
      </w:pPr>
      <w:r w:rsidRPr="00A4268A">
        <w:rPr>
          <w:rFonts w:eastAsia="Calibri"/>
        </w:rPr>
        <w:t>There are no areas requiring improvement from this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and confirmed to be effective. There is access to formal interpreter services via the interpreter services if required.  </w:t>
      </w:r>
    </w:p>
    <w:p w:rsidRPr="00A4268A">
      <w:pPr>
        <w:spacing w:before="240" w:line="276" w:lineRule="auto"/>
        <w:rPr>
          <w:rFonts w:eastAsia="Calibri"/>
        </w:rPr>
      </w:pPr>
      <w:r w:rsidRPr="00A4268A">
        <w:rPr>
          <w:rFonts w:eastAsia="Calibri"/>
        </w:rPr>
        <w:t>A complaints register is maintained with complaints resolved promptly and effectively. There have been no complaint investigations by an external agency since the previous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Parkwood Trust is the governing body and is responsible for the services provided. The strategic and quality and risk management plans include a mission statement, philosophy, vision, values and objectives. There is regular reporting by the general manager to the trust board.  </w:t>
      </w:r>
    </w:p>
    <w:p w:rsidRPr="00A4268A">
      <w:pPr>
        <w:spacing w:before="240" w:line="276" w:lineRule="auto"/>
        <w:rPr>
          <w:rFonts w:eastAsia="Calibri"/>
        </w:rPr>
      </w:pPr>
      <w:r w:rsidRPr="00A4268A">
        <w:rPr>
          <w:rFonts w:eastAsia="Calibri"/>
        </w:rPr>
        <w:t xml:space="preserve">The facility is managed by an experienced general manager. An experienced nurse manager is responsible for the clinical service and is supported by the general manager and senior management team. </w:t>
      </w:r>
    </w:p>
    <w:p w:rsidRPr="00A4268A">
      <w:pPr>
        <w:spacing w:before="240" w:line="276" w:lineRule="auto"/>
        <w:rPr>
          <w:rFonts w:eastAsia="Calibri"/>
        </w:rPr>
      </w:pPr>
      <w:r w:rsidRPr="00A4268A">
        <w:rPr>
          <w:rFonts w:eastAsia="Calibri"/>
        </w:rPr>
        <w:t>Quality and risk management systems are in place.  There is an internal audit programme. Quality data is being collected, collated, analysed and corrective actions developed and implemented. Graphs of clinical indicators are available for staff to view along with meeting minutes. Adverse events are documented on accident/incident forms.  A variety of meetings are held on a regular basis.</w:t>
      </w:r>
    </w:p>
    <w:p w:rsidRPr="00A4268A">
      <w:pPr>
        <w:spacing w:before="240" w:line="276" w:lineRule="auto"/>
        <w:rPr>
          <w:rFonts w:eastAsia="Calibri"/>
        </w:rPr>
      </w:pPr>
      <w:r w:rsidRPr="00A4268A">
        <w:rPr>
          <w:rFonts w:eastAsia="Calibri"/>
        </w:rPr>
        <w:t>The hazard and risk register evidenced review and updating of risks and the addition of new risks.</w:t>
      </w:r>
    </w:p>
    <w:p w:rsidRPr="00A4268A">
      <w:pPr>
        <w:spacing w:before="240" w:line="276" w:lineRule="auto"/>
        <w:rPr>
          <w:rFonts w:eastAsia="Calibri"/>
        </w:rPr>
      </w:pPr>
      <w:r w:rsidRPr="00A4268A">
        <w:rPr>
          <w:rFonts w:eastAsia="Calibri"/>
        </w:rPr>
        <w:t>There are policies and procedures on human resources management. Human resources processes are followed.  An in-service education programme is provided, and staff performance is monitored. Care staff are encouraged to complete the New Zealand Qualifications Authority Unit Standards. Staffing levels exceed the contracted requirements. The documented rationale for determining staffing levels and skill mixes is based on best practice.  Registered nurses are always rostered on duty. Staff are rostered on call after hours.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of the Parkwood Retirement Village, who reside in the care facility have their needs assessed by the multidisciplinary team on admission and within the required timeframes. Verbal shift handovers, communication sheets and long serving senior staff guide continuity of care within the care facility. </w:t>
      </w:r>
    </w:p>
    <w:p w:rsidRPr="00A4268A" w:rsidP="00621629">
      <w:pPr>
        <w:spacing w:before="240" w:line="276" w:lineRule="auto"/>
        <w:rPr>
          <w:rFonts w:eastAsia="Calibri"/>
        </w:rPr>
      </w:pPr>
      <w:r w:rsidRPr="00A4268A">
        <w:rPr>
          <w:rFonts w:eastAsia="Calibri"/>
        </w:rPr>
        <w:t xml:space="preserve">Care plans are individualised, based on a comprehensive and integrated range of clinical information. Short term care plans are developed to manage any new problems that might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w:t>
      </w:r>
    </w:p>
    <w:p w:rsidRPr="00A4268A" w:rsidP="00621629">
      <w:pPr>
        <w:spacing w:before="240" w:line="276" w:lineRule="auto"/>
        <w:rPr>
          <w:rFonts w:eastAsia="Calibri"/>
        </w:rPr>
      </w:pPr>
      <w:r w:rsidRPr="00A4268A">
        <w:rPr>
          <w:rFonts w:eastAsia="Calibri"/>
        </w:rPr>
        <w:t xml:space="preserve">The planned activity programme is overseen by two diversional therapists and two activities assistants. The programme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enrolled nurses and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warrant of fitness is displayed at the main entrance to the facility. There have been no structural alterations since the previous audit.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clear policies and procedures that meet the requirements of the restraint minimisation and safe practice standard. There were no residents using enablers and two residents using restraints at the time of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analysed and trended in the care facility at Parkwood Retirement Village. Results are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is provided to residents and families on admission and there is complaints information available throughout the facility.  Resident and families stated that communication about anything they are concerned about is actioned immediately. </w:t>
            </w:r>
          </w:p>
          <w:p w:rsidR="00EB7645" w:rsidRPr="00BE00C7" w:rsidP="00BE00C7">
            <w:pPr>
              <w:pStyle w:val="OutcomeDescription"/>
              <w:spacing w:before="120" w:after="120"/>
              <w:rPr>
                <w:rFonts w:cs="Arial"/>
                <w:b w:val="0"/>
                <w:lang w:eastAsia="en-NZ"/>
              </w:rPr>
            </w:pPr>
            <w:r w:rsidRPr="00BE00C7">
              <w:rPr>
                <w:rFonts w:cs="Arial"/>
                <w:b w:val="0"/>
                <w:lang w:eastAsia="en-NZ"/>
              </w:rPr>
              <w:t>Review of the register and interview of the quality managers evidenced twelve complaints have been received since the last audit including four for 2020. The quality managers are responsible for complaints management and follow-up. Review of documentation evidenced complaints are managed well and timeframes meet Right 10 of the Code.</w:t>
            </w:r>
          </w:p>
          <w:p w:rsidR="00EB7645" w:rsidRPr="00BE00C7" w:rsidP="00BE00C7">
            <w:pPr>
              <w:pStyle w:val="OutcomeDescription"/>
              <w:spacing w:before="120" w:after="120"/>
              <w:rPr>
                <w:rFonts w:cs="Arial"/>
                <w:b w:val="0"/>
                <w:lang w:eastAsia="en-NZ"/>
              </w:rPr>
            </w:pPr>
            <w:r w:rsidRPr="00BE00C7">
              <w:rPr>
                <w:rFonts w:cs="Arial"/>
                <w:b w:val="0"/>
                <w:lang w:eastAsia="en-NZ"/>
              </w:rPr>
              <w:t>The quality managers are responsible for complaint management and follow up. Staff interviewed confirmed a sound understanding of the complaint process and what actions are required.</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complaint investigations by external agencies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interviewed stated they were kept well informed about any changes to their/their relative’s status and outcomes of regular and any urgent medical reviews. This was supported in the residents’ files reviewed. Staff understood the principles of open disclosure, which is supported by policy and procedures that meet the requirements of the Code of Health and Disability Services Consumers’ Rights (the Code).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the interpreter service when required. The quality managers advised residents’ family members can act as interpreters, where appropriate. There were no residents requiring an interpreter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Parkwood Trust is the governing body and is made up of eight members including a resident, and two board members elected by residents within the complex. The board meets monthly and is responsible for the service provided. The strategic plan 2020-2025 includes a mission statement, vision, values and goals of which there are seven that describe critical success factors, strategies and progress. A SWOT analysis describes the strengths and weaknesses of the organisation.  A flow chart details the organisation’s structure. The general manager (GM) provides a monthly report to the trust board. The GM’s reports, minutes of the trust board meetings and interview of the GM evidenced matters reported on are sufficient to monitor performance.</w:t>
            </w:r>
          </w:p>
          <w:p w:rsidR="00EB7645" w:rsidRPr="00BE00C7" w:rsidP="00BE00C7">
            <w:pPr>
              <w:pStyle w:val="OutcomeDescription"/>
              <w:spacing w:before="120" w:after="120"/>
              <w:rPr>
                <w:rFonts w:cs="Arial"/>
                <w:b w:val="0"/>
                <w:lang w:eastAsia="en-NZ"/>
              </w:rPr>
            </w:pPr>
            <w:r w:rsidRPr="00BE00C7">
              <w:rPr>
                <w:rFonts w:cs="Arial"/>
                <w:b w:val="0"/>
                <w:lang w:eastAsia="en-NZ"/>
              </w:rPr>
              <w:t>Parkwood Retirement Village - (Parkwood Lodge) is managed by an experienced general manager who has been in the position for 26 years. An experienced nurse manager (NM) has been  at Parkwood Lodge for 18 years, 7 years as NM. The NM is responsible for the overall clinical service and is supported by RN/team leaders. Both the GM and NM are supported by the senior management team. Interviews and documentation evidenced the GM and NM have attended relevant conferences and workshops since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Parkwood Lodge is certified to provide care to 88 hospital and rest home level care residents. On the day of the audit there were 40 hospital level care and 41 rest home level care residents under the aged care residential contract with the DHB.  One hospital level resident was under the short-term residential care contract (respite) with the DHB. </w:t>
            </w:r>
          </w:p>
          <w:p w:rsidR="00EB7645" w:rsidRPr="00BE00C7" w:rsidP="00BE00C7">
            <w:pPr>
              <w:pStyle w:val="OutcomeDescription"/>
              <w:spacing w:before="120" w:after="120"/>
              <w:rPr>
                <w:rFonts w:cs="Arial"/>
                <w:b w:val="0"/>
                <w:lang w:eastAsia="en-NZ"/>
              </w:rPr>
            </w:pPr>
            <w:r w:rsidRPr="00BE00C7">
              <w:rPr>
                <w:rFonts w:cs="Arial"/>
                <w:b w:val="0"/>
                <w:lang w:eastAsia="en-NZ"/>
              </w:rPr>
              <w:t>Fifteen of the rest home beds have been approved as dual purpose. The GM reported three of the 15 are trust owned and the rest are under an occupational right agreement (ORA). The ORA rooms are within the facilities foot-print and are staffed as part of the rostering.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quality and risk manual is comprehensive and includes objectives and responsibilities with reviews undertaken annually to evaluate the objectives for the past year. The quality and risk management system reflects the principles of continuous improvement. The quality programme is managed by the two quality managers, one is responsible for the clinical activities and the other administration activities.</w:t>
            </w:r>
          </w:p>
          <w:p w:rsidR="00EB7645" w:rsidRPr="00BE00C7" w:rsidP="00BE00C7">
            <w:pPr>
              <w:pStyle w:val="OutcomeDescription"/>
              <w:spacing w:before="120" w:after="120"/>
              <w:rPr>
                <w:rFonts w:cs="Arial"/>
                <w:b w:val="0"/>
                <w:lang w:eastAsia="en-NZ"/>
              </w:rPr>
            </w:pPr>
            <w:r w:rsidRPr="00BE00C7">
              <w:rPr>
                <w:rFonts w:cs="Arial"/>
                <w:b w:val="0"/>
                <w:lang w:eastAsia="en-NZ"/>
              </w:rPr>
              <w:t>The internal audit programme, satisfaction surveys, incident/accidents and complaints are linked to the quality indicators and evidenced monitoring and review. There was evidence of quality data being collected, collated and analysed to identify trends. Corrective actions are developed and implemented and monitored following any deficits identified. Graphs of clinical indicators with trending and meeting minutes are available for staff to view in the nurses’ stations. During the Covid 19 lockdown, staff meetings were not held; however, the quality managers provided memos and newsletters with a variety of subjects to keep staff well informed. Staff meetings have resumed, and minutes were reviewed. Meeting minutes for quality, staff, RN/EN, restraint, infection control, health and safety, team leaders and residents were reviewed. Minutes evidenced good reporting of analysis and trending. Staff stated they are kept well informed and discuss the clinical indicators at meetings and at hand over. The resident satisfaction survey of September 2020 evidenced high levels of satisfaction.</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relevant to the scope and complexity of the service, reflected current accepted good practice and referenced legislative requirements. There is a system in place to manage the control of policies and procedures. Policies and procedures are reviewed two yearly and have footers that include the date reviewed. Review of the hard copy policy and procedure folder for staff evidenced all policies and procedures were current. Staff confirmed they are aware of updated documentation. The quality manager reported minor changes to policies are discussed at the various monthly meetings. If major changes are required, the policy is attached to a clip board and put in the nurses’ stations where staff are required to read and sign off on.  Obsolete documents are stored electronically.</w:t>
            </w:r>
          </w:p>
          <w:p w:rsidR="00EB7645" w:rsidRPr="00BE00C7" w:rsidP="00BE00C7">
            <w:pPr>
              <w:pStyle w:val="OutcomeDescription"/>
              <w:spacing w:before="120" w:after="120"/>
              <w:rPr>
                <w:rFonts w:cs="Arial"/>
                <w:b w:val="0"/>
                <w:lang w:eastAsia="en-NZ"/>
              </w:rPr>
            </w:pPr>
            <w:r w:rsidRPr="00BE00C7">
              <w:rPr>
                <w:rFonts w:cs="Arial"/>
                <w:b w:val="0"/>
                <w:lang w:eastAsia="en-NZ"/>
              </w:rPr>
              <w:t>The risk and hazard registers are comprehensive and include risks associated with clinical, human resources, legislative compliance, contractual, environmental risks and organisation wide. Actual and potential hazards and the actions put in place to minimise or eliminate the hazard are documented. Newly found hazards are communicated to staff and residents as appropriate. The quality managers demonstrated good knowledge concerning health and safety. Staff confirmed they understood and implemented documented hazard identification processes.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events on an incident/accident form. Incident/accident forms reviewed evidenced these were fully completed, were investigated, action plans developed and actions followed-up in a timely manner.  Individual incident/accident logs are kept in each resident’s file and were up to date. Adverse event data is collated and analysed by the quality managers and trends shared with staff through meetings. An electronic index is maintained for all incident/accidents facility wide. Families confirmed they are notified of incidents/accidents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 quality managers are aware of essential notification reporting requirements, including for pressure injuries and health and safety events. The quality managers advised there have been no Section 31 notifications of significant events made to external agencies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relating to human resource management are in place. Staff files included job descriptions which outline accountability, responsibilities and authority, employment agreements, references, completed orientation, competency assessments, education records, police vetting and interview documents. </w:t>
            </w:r>
          </w:p>
          <w:p w:rsidR="00EB7645" w:rsidRPr="00BE00C7" w:rsidP="00BE00C7">
            <w:pPr>
              <w:pStyle w:val="OutcomeDescription"/>
              <w:spacing w:before="120" w:after="120"/>
              <w:rPr>
                <w:rFonts w:cs="Arial"/>
                <w:b w:val="0"/>
                <w:lang w:eastAsia="en-NZ"/>
              </w:rPr>
            </w:pPr>
            <w:r w:rsidRPr="00BE00C7">
              <w:rPr>
                <w:rFonts w:cs="Arial"/>
                <w:b w:val="0"/>
                <w:lang w:eastAsia="en-NZ"/>
              </w:rPr>
              <w:t>New staff are required to complete the orientation programme prior to their commencement of care to residents. The entire orientation process, including completion of competencies, takes up to two weeks to complete and staff performance is reviewed at the end of this period and annually thereafter.  Orientation for staff covers the essential components of the service provided.</w:t>
            </w:r>
          </w:p>
          <w:p w:rsidR="00EB7645" w:rsidRPr="00BE00C7" w:rsidP="00BE00C7">
            <w:pPr>
              <w:pStyle w:val="OutcomeDescription"/>
              <w:spacing w:before="120" w:after="120"/>
              <w:rPr>
                <w:rFonts w:cs="Arial"/>
                <w:b w:val="0"/>
                <w:lang w:eastAsia="en-NZ"/>
              </w:rPr>
            </w:pPr>
            <w:r w:rsidRPr="00BE00C7">
              <w:rPr>
                <w:rFonts w:cs="Arial"/>
                <w:b w:val="0"/>
                <w:lang w:eastAsia="en-NZ"/>
              </w:rPr>
              <w:t>The education programme reviewed and interviews of staff evidenced on-going training is provided via several ways including internal training days, ‘tool box’ talks  with small groups and one to one training provided by the RNs. External educators provide education and staff can also attend external training. Individual certificates of training are held on staff files. Competencies were current including but limited to medicines and restraint and attendance records are maintained electronically and in hard copy. Six of the 14 RNs are interRAI trained and have current competencies. Current first aid certificates were sighted in staff files.</w:t>
            </w:r>
          </w:p>
          <w:p w:rsidR="00EB7645" w:rsidRPr="00BE00C7" w:rsidP="00BE00C7">
            <w:pPr>
              <w:pStyle w:val="OutcomeDescription"/>
              <w:spacing w:before="120" w:after="120"/>
              <w:rPr>
                <w:rFonts w:cs="Arial"/>
                <w:b w:val="0"/>
                <w:lang w:eastAsia="en-NZ"/>
              </w:rPr>
            </w:pPr>
            <w:r w:rsidRPr="00BE00C7">
              <w:rPr>
                <w:rFonts w:cs="Arial"/>
                <w:b w:val="0"/>
                <w:lang w:eastAsia="en-NZ"/>
              </w:rPr>
              <w:t>A New Zealand Qualification Authority education programme is available for staff who have not already completed the programme. Nine caregivers have attained level 4, 18 have attained level 3 and three have attained level 2. An RN is the internal assessor for the facility.</w:t>
            </w:r>
          </w:p>
          <w:p w:rsidR="00EB7645" w:rsidRPr="00BE00C7" w:rsidP="00BE00C7">
            <w:pPr>
              <w:pStyle w:val="OutcomeDescription"/>
              <w:spacing w:before="120" w:after="120"/>
              <w:rPr>
                <w:rFonts w:cs="Arial"/>
                <w:b w:val="0"/>
                <w:lang w:eastAsia="en-NZ"/>
              </w:rPr>
            </w:pPr>
            <w:r w:rsidRPr="00BE00C7">
              <w:rPr>
                <w:rFonts w:cs="Arial"/>
                <w:b w:val="0"/>
                <w:lang w:eastAsia="en-NZ"/>
              </w:rPr>
              <w:t>Staff performance appraisals were current.  Annual practising certificates were current for all staff and contractors who require them to practice.</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they have completed an orientation, including competency assessments. Staff also confirmed their attendance at on-going in-service education and the currency of their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comprehensive documented rationale for determining staffing levels and skill mix to provide safe service delivery. The policy includes skill mix, acuity and what triggers an increase in staffing or any decrease. Rosters were reviewed and showed staffing levels are adjusted to meet the changing needs of residents, acuity levels of residents on admission and the environment. Staff are also consulted about any changes required in workloads. Registered nurse cover is provided seven days a week over the 24-hour period. Staff are rostered on call after hours. There are 14 RNs employed, all have more than three years’ experience in working in the aged care sector. There are three RNs and 14 care givers on the morning shift; 2 RNs and 10 care givers on the afternoon shift and 1 RN, an EN and 2 care givers on the night shift. There is at least one staff member per shift with a current first aid certificate. Cleaning and laundry staff are dedicated to the roles. Two diversional therapists and two activity staff are employed to implement the activities programme.</w:t>
            </w:r>
          </w:p>
          <w:p w:rsidR="00EB7645" w:rsidRPr="00BE00C7" w:rsidP="00BE00C7">
            <w:pPr>
              <w:pStyle w:val="OutcomeDescription"/>
              <w:spacing w:before="120" w:after="120"/>
              <w:rPr>
                <w:rFonts w:cs="Arial"/>
                <w:b w:val="0"/>
                <w:lang w:eastAsia="en-NZ"/>
              </w:rPr>
            </w:pPr>
            <w:r w:rsidRPr="00BE00C7">
              <w:rPr>
                <w:rFonts w:cs="Arial"/>
                <w:b w:val="0"/>
                <w:lang w:eastAsia="en-NZ"/>
              </w:rPr>
              <w:t>Care staff reported there is good staff cover available and they were able to complete the work allocated to them. They reported if someone is unable to work the team helps each other. The managers stated any shortfall can usually be filled using the casual pool or staff offered extra hours. Residents and family members reported there were appropriate numbers of staff on duty to provide them or their relative with adequate care.  Observations during this audit confirmed adequate staff cover 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an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electronic signature and date recorded on the commencement and discontinuation of medicines and all requirements for pro re nata (PRN) medicines met. The required three-monthly GP review is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21 residents at Parkwood who self-administer medications at the time of audit. 19 of these are residents only self-administer partially, in that they administer inhalers, eye drops or sprays. Two residents fully self-administer all medications. Appropriate processes are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Medication errors are reported to the RN and recorded on an accident/incident form. The resident and/or the designated representative are advised. There is a process for comprehensive analysis of any medication errors, and compliance with this process was verified. A previous continuous improvement around the reduction of medication errors due to the introduction of an electronic medication management system remains in place, and medication errors are noted to remain low.</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used at Parkwood, and these meet the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cook and is in line with recognised nutritional guidelines for older people. The menu follows summer and winter patterns and has been reviewed by a qualified dietitian in August 2019.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 food control plan is in place and expires 27 June 2021. All aspects of food procurement, production, preparation, storage, transportation, delivery and disposal comply with current legislation and guidelines. Food temperatures, including for high 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is verified by resident and family interviews, satisfaction surveys and resident meeting minutes. Any areas of dissatisfaction were promptly responded to. Residents were seen to be given time to eat their meal in an unhurried fashion and those requiring assistance had this provided. The hospital dining room was noted to be nicely presented, with a relaxed atmosphere conducive to enhancing the nutritional experience. Staff were seated beside the residents requiring assistance. The mealtime was relaxed and unhurried. When plates were cleared, residents were asked whether they had found the meal enjoyable. There are sufficient staff on duty in the dining rooms at mealtimes to ensure appropriate assistance is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at Parkwood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 of care provided and in accordance with the residents’ needs. All residents and families interviewed at Parkwood described the care as fantastic or outstanding.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two trained diversional therapists and two part time activities assistants.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care plan review every six months.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matches the skills, likes, dislikes and interests identified in assessment data. Activities reflected residents’ goals, ordinary patterns of life and include normal community activities. Individual, group activities and regular events are offered. Examples included indoor golf, art classes, knitting groups, visiting entertainers, quiz sessions and daily news updates. The activities programme is discussed at the residents’ meetings and indicated residents’ input is sought and responded to. Resident and family satisfaction surveys demonstrated satisfaction and that information is used to improve the range of activities offered. Residents interviewed confirmed they find the programme meets their needs. A continuous improvement initiative was recognised at the last audit, focussed on providing a wide range of resident initiated activities. A review with an analysis and evaluation of resident satisfaction, after each activity impacted on future planning. This initiative remains in place and ongoing, however has been impacted on by the limitations and restrictions imposed by the Covid-19 quarantine and is unable to be evaluated at this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Examples were sighted of short-term care plans being consistently reviewed for infections, pain and weight loss and progress evaluated as clinically indicated and according to the degree of risk noted during the assessment process.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building warrant of fitness is displayed in the main facility that expires on the 20 May 2021.  There have been no structural alterations undertaken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of infections at Parkwood is appropriate to that recommended for long term care facilities, with infection definitions reflecting a focus on symptoms rather than laboratory results. These include urinary tract, soft tissue, fungal, eye, gastro-intestinal, the upper and lower respiratory tract and scabies.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nurse reviews all reported infections. Monthly surveillance data is collated and analysed to identify any trends, possible causative factors and required actions. Results of the surveillance programme are shared with staff at the management meeting, the infection control meeting and at staff handovers. Training is provided if evidence verifies the incidences of infection requires increased staff training. Surveillance data is entered in the organisation’s electronic infection database. Graphs are produced that identify trends for the current year, and comparisons against previous years. Data is posted on noticeboards in the staff room.</w:t>
            </w:r>
          </w:p>
          <w:p w:rsidR="00EB7645" w:rsidRPr="00BE00C7" w:rsidP="00BE00C7">
            <w:pPr>
              <w:pStyle w:val="OutcomeDescription"/>
              <w:spacing w:before="120" w:after="120"/>
              <w:rPr>
                <w:rFonts w:cs="Arial"/>
                <w:b w:val="0"/>
                <w:lang w:eastAsia="en-NZ"/>
              </w:rPr>
            </w:pPr>
            <w:r w:rsidRPr="00BE00C7">
              <w:rPr>
                <w:rFonts w:cs="Arial"/>
                <w:b w:val="0"/>
                <w:lang w:eastAsia="en-NZ"/>
              </w:rPr>
              <w:t>A good supply of personal protective equipment is available. Parkwood has processes in place to manage the risks imposed by Covid-19.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approval group provides the support and oversight for enabler and restraint management. Staff interviewed demonstrated a sound understanding of the organisation’s policies, procedures and practice and their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two residents were using restraints and no residents were using enablers. Enablers are the least restrictive and used voluntarily at the resident’s request. The restraint coordinator reported the facility was restraint free until a short time ago and the aim is to be restraint free once more. Equipment used to minimise restraint use include sensor mats, landing mats, low and extra low beds and laser alarms.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Parkwood Trust Incorporated</w:t>
    </w:r>
    <w:bookmarkEnd w:id="58"/>
    <w:r>
      <w:rPr>
        <w:rFonts w:cs="Arial"/>
        <w:sz w:val="16"/>
        <w:szCs w:val="20"/>
      </w:rPr>
      <w:tab/>
      <w:t xml:space="preserve">Date of Audit: </w:t>
    </w:r>
    <w:bookmarkStart w:id="59" w:name="AuditStartDate1"/>
    <w:r>
      <w:rPr>
        <w:rFonts w:cs="Arial"/>
        <w:sz w:val="16"/>
        <w:szCs w:val="20"/>
      </w:rPr>
      <w:t>6 October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