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Maxwell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Maxwell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October 2020</w:t>
      </w:r>
      <w:bookmarkEnd w:id="7"/>
      <w:r w:rsidRPr="009418D4">
        <w:rPr>
          <w:rFonts w:cs="Arial"/>
        </w:rPr>
        <w:tab/>
        <w:t xml:space="preserve">End date: </w:t>
      </w:r>
      <w:bookmarkStart w:id="8" w:name="AuditEndDate"/>
      <w:r w:rsidR="00A4268A">
        <w:rPr>
          <w:rFonts w:cs="Arial"/>
        </w:rPr>
        <w:t>8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Maxwell Lifecare provides rest home and hospital level care for up to 25 residents. The service is operated by Heritage Lifecare and managed by a care and facility manager and a clinical services manager. Residents and families reported full satisfaction with the services provided.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managers, staff and a nurse practitioner. </w:t>
      </w:r>
    </w:p>
    <w:p w:rsidRPr="00A4268A">
      <w:pPr>
        <w:spacing w:before="240" w:line="276" w:lineRule="auto"/>
        <w:rPr>
          <w:rFonts w:eastAsia="Calibri"/>
        </w:rPr>
      </w:pPr>
      <w:r w:rsidRPr="00A4268A">
        <w:rPr>
          <w:rFonts w:eastAsia="Calibri"/>
        </w:rPr>
        <w:t>This audit confirmed that all standards reviewed for this audit are met. Two areas for improvement raised as corrective actions at the last audit have been addressed. These related to implementation of the activities programme and renovation of the kitchen.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mission statement, values, goals and objectives of the organisation and of the facility are described within the business and quality and risk management plans. Weekly updates, monthly operations reports, and monthly clinical indicator data, are consistently provided to the governing body. The care and facility manager is an experienced and suitably qualified person for the role.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regular surveys enable residents and families to provide feedback. Adverse events are documented with corrective actions implemented. Actual and potential risks, including health and safety risks, are identified and mitigated.  Policies and procedures are regularly reviewed, support service delivery and were current. </w:t>
      </w:r>
    </w:p>
    <w:p w:rsidRPr="00A4268A">
      <w:pPr>
        <w:spacing w:before="240" w:line="276" w:lineRule="auto"/>
        <w:rPr>
          <w:rFonts w:eastAsia="Calibri"/>
        </w:rPr>
      </w:pPr>
      <w:r w:rsidRPr="00A4268A">
        <w:rPr>
          <w:rFonts w:eastAsia="Calibri"/>
        </w:rPr>
        <w:t>Human resources processes are being implemented according to current good practices. Staff have access to ongoing training opportunities that support safe service delivery. Annual individual staff performance reviews were current.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On admission to Maxwell Lifecare, residents have their needs assessed by the multidisciplinary team within the required timeframes. Continuity of care is guided by staff handing over resident information using verbal handovers and documentation on communication sheets.</w:t>
      </w:r>
    </w:p>
    <w:p w:rsidRPr="00A4268A" w:rsidP="00621629">
      <w:pPr>
        <w:spacing w:before="240" w:line="276" w:lineRule="auto"/>
        <w:rPr>
          <w:rFonts w:eastAsia="Calibri"/>
        </w:rPr>
      </w:pPr>
      <w:r w:rsidRPr="00A4268A">
        <w:rPr>
          <w:rFonts w:eastAsia="Calibri"/>
        </w:rPr>
        <w:t xml:space="preserve">Care plans are individualised, based on a range of comprehensive and integrated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provided by an activities co-ordinator. Residents are provided with a variety of individual and group activities and links with the community are maintained.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recently upgraded, was clean and met food safety standards. Residents and their family members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on display. There have been no modifications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to support the minimisation of restraint. At the time of audit, three enablers and one restraint were in use. A comprehensive assessment, approval and monitoring process with regular reviews is occurring.  Use of enablers is voluntary and for the safety of residents.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Maxwell Lifecare undertakes aged care specific infection surveillance. Results are analysed, trended, and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compliments policy and associated forms meet the requirements of Right 10 of the Code.  Written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eighteen complaints have been received since January of this year. Investigation processes were evident and follow-up actions through to an agreed resolution documented and completed within the required timeframes. Examples of improvements made are documented in meeting minutes as well as the complaint register. The care and facility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on open disclosure meet the requirements of the Code. Family members stated they were kept well informed about any changes to their relative’s status and were advised in a timely manner about any incidents or accidents and outcomes of regular and any urgent medical reviews. This was supported in residents’ records reviewed. Residents confirmed they are given sufficient information about their care. The care and facility manager and staff interviewed described their understanding of the principles of open disclosure.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and facility manager informed that there is no local interpreter service available and if necessary, such services would need to be brought from outside the region. A report about use of family members for a person receiving respite care was provided, as were descriptions of how different staff have cooperated with language and communication difficulties when required. The care and facility manager confirmed that such support was rarely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and facility strategic and business plans, which are reviewed annually, outline the purpose, values, scope, direction and goals of the organisation. The documents described annual and longer-term objectives and the associated operational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Covid-19 lockdown, reporting processes through to Heritage Lifecare Limited include a weekly ‘Zoom’ meeting with the regional operations manager and the regional quality manager, a fortnightly telephone call with the regional operations manager, the forwarding of occupancy and staffing figures weekly, and monthly reports on clinical, financial and operations. Copies of documentation being provided were sighted and showed adequate information to monitor performance is being reported.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and facility manager who holds relevant qualifications and has been in the role for three years. Access to the care and facility manager’s personnel file was not possible as it is held at support office; however, the regional operations manager who happened to be visiting on the day of this unannounced audit described qualities of the manager and confirmed their suitability for the role. Responsibilities and accountabilities are reportedly defined in a job description and individual employment agreement. The care and facility manager confirmed knowledge of the sector, regulatory and reporting requirements as a result of previous positions and experience in their current role. Their professional development is ongoing as is contact with the DHB portfolio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residential aged care contracts with the local DHB for long-term (19 people) and respite hospital level care residents and long-term (three people) and respite rest home level care. Three residents on Ministry of Health young people with disabilities contracts are receiving hospital level care. Although the service provider has a contract with the Accident Compensation Corporation, there were no residents receiving care under this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reviews on education, clinical issues, complaints, management of incidents, internal audit activities and checklists, infections and monitoring of a wide range of clinical outcome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the quality indicators and that related information is reported and discussed at the monthly quality and risk team meetings, registered nurse meetings and staff meetings. Staff reported their involvement in quality and risk management activities through assisting with internal audits, discussing corrective actions with the manager, completing incident forms and participating in meetings and in training sessions. Relevant corrective actions are developed and implemented to address any identified shortfalls. Resident and family satisfaction surveys are completed annually. The most recent resident and next of kin survey was completed two months ago; however, reports on the outcomes are still unavailable due to pressures from the Covid-19 pandemic. Planned changes in the activity programme are expected to pre-empt the anticipated survey reports. There was evidence of resident and relative satisfaction with services in the compliment register. A staff survey was completed in 2019 and several of the recommended changes have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every three years,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and facility manager described the processes for the identification, monitoring, review and reporting of risks and development of mitigation strategies. The care and facility manager was familiar with the Health and Safety at Work Act (2015) and continues to implement requirements.  Updated hazard registers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and where relevant action plans developed. The care and facility manager and the clinical services manager review the incident forms as applicable, sign them off and enter the collated information into the organisation’s electronic system. Adverse event data is analysed by the support office. Outcome reports provide guidance on any trends identified and include graphs over time for different types of incidents. Recommended actions are identified, implemented and followed up in a timely manner through the quality and risk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and facility manager described essential notification reporting requirements and showed the system in place to ensure such events are reported as required. One notification to authorities had been made since the last audit. This was to the Ministry of Health for a stage three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a formal application process, initial interview, referee checks, police vetting and validation of qualifications and practising certificates (APCs), where required.  A sample of staff records reviewed confirmed the organisation’s policies are being consistently implemented and records are maintained. Annual practising certificates for all health professionals involved with residents at Maxwell Lifecare are on file and all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prepares them well for their role and additional time with a ‘buddy’ is added if the new staff person requires or requests it. Staff records reviewed showed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and includes mandatory training requirements. Care staff have either completed or commenced a New Zealand Qualification Authority education programme to meet the requirements of the provider’s agreement with the DHB. Toolbox training sessions are held regularly and are reportedly enabling early intervention to identified problems. With four of the eight registered nurses trained in undertaking interRAI assessments, there are sufficient trained and competent registered nurses maintaining their annual competency requirements. A fifth person is part way through. The care and facility manager described how staff training is monitored every three months and records reviewed confirmed over 80% compliance with annual requirements to date. All staff annual performance appraisals are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or a change in the number of residents. This is done on a case by case basis. An afterhours on call roster is in place, with the clinical services manager and the care and facility manager doing week about. Staff reported that good access to advice is available when needed and confirmed the registered nurse on duty is always responsible for clinical decisions.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were adequate staff available to complete the work allocated to them, but it is busy and can be challenging when things go awry. Residents and family interviewed supported this and noted how busy the staff are. Observations and review of a four-week roster cycle confirmed adequate staff cover has been provided according to pre-determined ratios. Staff are being replaced by a person willing to work an additional shift, or by a casual staff person, in any unplanned absence.  All registered nurses have a current first aid certificate, as do any staff person such as activities staff who may be alone with a resident outside of the facility. At least one staff member on duty has a current first aid certificate and this is identifiable on the roster. There is 24 hour/seven days a week registered nurse coverage for hospital residents. Only registered nurses undertake medication administration, although a number of caregivers have a ‘second checker’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electronic signature and date recorded on the commencement and discontinuation of medicines and all requirements for pro re nata (PRN) medicines met. The required three-monthly GP review was consistently recorded on the electronic medicine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an inhaler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Maxwell Lifecare.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24 March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up to date food control plan is in place and issued by the Marlborough District Council 11 June 2020.</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at Maxwell Lifecare was consistent with their needs, goals, and the plan of care. The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A previous audit identified that the activities programme at Maxwell Lifecare did not evidence maintenance of residents’ strengths, skills, and interests. A corrective action request required evidence to be provided that activities are planned, developed, and facilitated to meet the ongoing needs of the resident. This has been addressed. A social assessment and history are undertaken on admission to ascertain residents’ needs, interests, abilities, and social requirements. 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current affairs, ‘housie’, arts and crafts, pet therapy, visiting entertainers, quiz sessions, ‘happy hour’, and daily news updates.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assessments are regularly reviewed to help formulate an activities programme that is meaningful to the residents. The residents’ activity needs are evaluated every three months and as part of the formal six-monthly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monthly schedule of themed activities is driven by the organisation’s head office as is monthly online conferences for activity personnel.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bimonthly residents’ meetings and minutes indicated residents’ and family members input is sought and responded to. Resident and family satisfaction surveys demonstrated satisfaction and that information is used to improve the range of activities offered. Residents and family members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Maxwell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are consistently reviewed and evaluated as clinically indicated.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1 July 2021 was on display. There has not been any reconstruction or additions to the facility buildings.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has been renovated with the vinyl floor replaced, insect screens replaced, and the walls and window frames repainted. This has resulted in resolution of the issues raised for corrective action at the last audit. Potential risks to food safety and the health and safety of staff have now been minimised.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Maxwell Lifecare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nurse/clinical services manager reviews all reported infections. Monthly surveillance data is collated and analysed to identify any trends, possible causative factors and required actions. Results of the surveillance programme are shared with staff via RN/quality/staff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Maxwell Lifecare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provided guidance on the safe use of both restraints and enablers. The restraint coordinator provides support and oversight for enabler and restraint management in the facility. Although unable to be interviewed during the surveillance audit, the restraint coordinator is maintaining the integrity of the restraint minimisation practices within the facility, as per organisational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According to the restraint register and recent meeting minutes, one resident is currently using two types of restraint, one being a bed rail and the other a lap belt. Three residents were voluntarily using an enabler to assist them to remain safe. A consent process is used for enablers. Similar processes including assessment and reviews are followed for the use of enablers as are used for restraints. During interview, staff were able to differentiate between a restraint and an enabler and described monitoring procedures.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Maxwell Care Home</w:t>
    </w:r>
    <w:bookmarkEnd w:id="58"/>
    <w:r>
      <w:rPr>
        <w:rFonts w:cs="Arial"/>
        <w:sz w:val="16"/>
        <w:szCs w:val="20"/>
      </w:rPr>
      <w:tab/>
      <w:t xml:space="preserve">Date of Audit: </w:t>
    </w:r>
    <w:bookmarkStart w:id="59" w:name="AuditStartDate1"/>
    <w:r>
      <w:rPr>
        <w:rFonts w:cs="Arial"/>
        <w:sz w:val="16"/>
        <w:szCs w:val="20"/>
      </w:rPr>
      <w:t>8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