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Granger House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Granger House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2020</w:t>
      </w:r>
      <w:bookmarkEnd w:id="7"/>
      <w:r w:rsidRPr="009418D4">
        <w:rPr>
          <w:rFonts w:cs="Arial"/>
        </w:rPr>
        <w:tab/>
        <w:t xml:space="preserve">End date: </w:t>
      </w:r>
      <w:bookmarkStart w:id="8" w:name="AuditEndDate"/>
      <w:r w:rsidR="00A4268A">
        <w:rPr>
          <w:rFonts w:cs="Arial"/>
        </w:rPr>
        <w:t>13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Granger House Lifecare provides rest home and hospital level care for up to 70 residents. The service is operated by Heritage Lifecare Limited and managed by a care manager and a clinical services manager. Residents and families are satisfied with the care and support being provided at Granger House Lifecare and were positive about changes that have occurred in this facility.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This audit confirmed that all of the standards reviewed are fully attained. Improvements have been made to residents’ care plans, which has addressed an area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Information about the complaints process is provided at the time of admission and is available at the front entrance. Complaints are being fully investigated and responded to.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organisational business plan for Heritage Lifecare Limited includes overarching goals, action plans, scope, direction, values and mission statement. A business plan for Granger specifically focuses on how this facility will meet the key performance indicators from the organisational plan. Regular monitoring reports about the services are provided to the governing body. An experienced and suitably qualified person manages the facility.  </w:t>
      </w:r>
    </w:p>
    <w:p w:rsidRPr="00A4268A">
      <w:pPr>
        <w:spacing w:before="240" w:line="276" w:lineRule="auto"/>
        <w:rPr>
          <w:rFonts w:eastAsia="Calibri"/>
        </w:rPr>
      </w:pPr>
      <w:r w:rsidRPr="00A4268A">
        <w:rPr>
          <w:rFonts w:eastAsia="Calibri"/>
        </w:rPr>
        <w:t xml:space="preserve">The quality and risk system is outlined in policies and procedures and being implemented accordingly. This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Regular individual staff performance review.  Staffing levels and skill mix meet the changing needs of residents and varying levels of occupancy.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on public display. No modifications have been made to the facility since the previous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enablers and three restraints are in use at the time of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and compliments policy and associated forms meet the requirements of Right 10 of the Code.  Information on the complaint process is provided to residents and families on admission and the manager informed it is a topic in residents’ meetings and in staff education sessions. Residents and family members interviewed knew how to do so. This was confirmed in completed complaint forms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complaints register reviewed showed that a total of 13 complaints (four verbal and nine written) have been received over the past year and that actions taken, through to a resolution, are documented and completed within the required timeframes. The care manager, who is responsible for complaints management and follow-up, noted there is not always confirmation of satisfaction with the resolution form the complainant. Action plans show any required follow up and improvements have been made where possible.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Health and Disability Commission complaint is under investigation. Previous investigations by the Coroner’s office and by the police have not been upheld and no recommendations were made. The issue is currently under legal review and is therefore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and the clinical services manager confirmed they accept responsibility for open disclosure processes. Residents and family members stated they were kept well informed about any changes to their/their relative’s status. This includes incidents, or accidents and outcomes of regular and any urgent medical reviews. Dates and times of when relatives were informed are recorded on the completed incident reports sighted.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policies and procedures describe residents’ rights to interpreter services when required and how to access them. The care manager noted that interpreter services are available through the Grey Hospital and Health Centre, West Coast District Health Board but to date have never been needed. Staff noted individual communication needs are constantly considered as many are hearing impaired, visually impaired, or have speech difficulties.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Heritage Lifecare Limited (HLL) organisational business plan, which is reviewed annually. This outlines the purpose, values, scope, direction and goals of the organisation and sits alongside a Granger House Lifecare specific business plan. The documents describe annual and longer-term objectives under each goal and include key performance indicators and associated operational plans. A sample of these weekly and monthly reports that are sent to the HLL support office were viewed and include details such as occupancy, financial performance, staffing reports, complaints, incidents/adverse events, infections, restraint use and emerging risks. </w:t>
            </w:r>
          </w:p>
          <w:p w:rsidR="00EB7645" w:rsidRPr="00BE00C7" w:rsidP="00BE00C7">
            <w:pPr>
              <w:pStyle w:val="OutcomeDescription"/>
              <w:spacing w:before="120" w:after="120"/>
              <w:rPr>
                <w:rFonts w:cs="Arial"/>
                <w:b w:val="0"/>
                <w:lang w:eastAsia="en-NZ"/>
              </w:rPr>
            </w:pPr>
            <w:r w:rsidRPr="00BE00C7">
              <w:rPr>
                <w:rFonts w:cs="Arial"/>
                <w:b w:val="0"/>
                <w:lang w:eastAsia="en-NZ"/>
              </w:rPr>
              <w:t>A suitably qualified and experienced care manager is responsible for management of the facility. The care manager has more than 40 years in the health sector and has been in the current role for two years. Responsibilities and accountabilities are reportedly defined in a job description and an individual employment agreement, although these were not able to be viewed as they are held at the support office. Qualifications include enrolled nurse, a business degree with postgraduate papers in health services management that are now being used towards an almost completed master’s in health service management. The care manager confirmed knowledge of the sector, regulatory and reporting requirements and maintains currency through regular attendance at local West Coast ARRC meetings, HLL management meetings and is a member of the dementia stakeholder’s group (West Coast).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Aged Related Residential Care (ARRC) contracts with the West Coast District Health Board, to provide hospital and rest home care services, including for respite care. It also has one for end of life care. There are currently 33 residents receiving hospital level care under the ARRC agreement, three others are under contracts with the Accident Compensation Commission and three under Ministry of Health contracts for young person’s with disabilities. Twenty-three people are receiving rest home level care, all of which are under the ARRC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a regular patient satisfaction survey, monitoring of outcomes, clinical incidents including infections and falls for example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were reviewed for monthly quality and risk management meetings, staff meetings and departmental meetings. These confirmed regular review and analysis of quality indicators is occurring, and related information is reported and discussed. Relevant corrective actions are developed and implemented to address any shortfalls. During interviews, staff reported their involvement in quality and risk management activities through assisting with internal audits, keeping updated with organisational policies and procedures and reporting incidents and any concerns. Quality indicator data is collated and provided to the HLL support office. Monthly analyses of this data against key performance indicators are available. Resident and family satisfaction surveys are completed annually. The most recent survey undertaken mid-2020 showed concerns about food and about staff being difficult to understand or using their own language. Actions are underway to address both issues. There were favourable comments about staffing, how good the staff are and about activities, although the care manager expressed an intention to improve the activity programme even further.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described the processes for the identification, monitoring, review and reporting of risks and development of mitigation strategies. These included strategies in place to manage the risks associated with the Covid-19 pandemic. Parts of the risk management processes are completed in collaboration with HLL operations manager, parts within the quality and risk system and individual risks for residents are reviewed in consultation with the clinical services manager. The care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per the organisational policies and procedures, staff document adverse and near miss events on an accident/incident form. A sample of incidents forms reviewed showed these were fully completed, incidents were investigated, action plans developed and actions followed-up in a timely manner. For example, completed post fall assessment forms and neurological observations are attached to the form and recommendations and corrective action plans detailed on the reverse as appropriate. Copies of the forms are placed in an incident folder with the original placed retained in the resident’s (or staff person’s) file. Adverse event data is collated, categorised, analysed and reported to the HLL support office in monthly reporting quality indicator data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described a project aimed at reducing the incidence of resident falls and another on the prevention of urinary tract and upper respiratory tract infections. These are demonstrating early signs of continuous improvement practices.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described essential notification reporting requirements, including for pressure injuries, outbreaks and unexpected deaths. They advised there have been no notifications of significant events made to the Ministry of Health since the previous audit, except to advise of a change in the clinical services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application, an initial interview, referee checks, police vetting and validation of qualifications and practising certificates (APCs), where required.  A sample of staff records reviewed confirmed the organisation’s policies are being consistently implemented and records are maintained. Documentation sighted confirmed all registered health professionals who have contact with residents at Granger House Lifecare have a current APC.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their specific role. Staff reported that the orientation process prepared them well for their role and that additional time may be allocated depending on previous experience. According to staff records reviewed orientation checklists are completed, as are all required competencies. Most included evidence of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according to the mandatory requirements, which are included in the annually reviewed HLL training calendar and staff are required to undertake the minimum as outlined. Multiple additional opportunities are provided. The care manager, who is a strong advocate for training, has developed a number of additional training resources for facility staff and added topics of interest. Attendance/participation records are completed for each opportunity and the staff training database updated accordingly. To meet the requirements of the provider’s agreement with the DHB, care staff have either completed or commenced a New Zealand Qualification Authority education programme, with most at least level three or above. The care manager is the internal assessor for the programme. Three of the eight longer servicing registered nurses are maintaining their annual competency requirements to undertake interRAI assessments and the clinical services manager informed this is proving sufficient. A database reviewed demonstrated annual performance appraisals are being completed within expected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and makes every effort to maintain stable staffing for residents with staff dedicated to rest home or hospital as far as possible. Additional staff may be called on by any registered nurse if workloads indicate the need, but this is most often done by the care manager or the clinical services manager. The facility manager and the clinical services manager share afterhours on-call, with staff confirming there is at least one registered nurse on duty in the hospital 24/7 and another in the rest home on both morning and afternoon shifts. All staff interviewed reported there is good access to advice when needed. Care staff also reported there were adequate staff available to complete the work allocated to them. Residents and family interviewed supported this. Observations and review of a four-week roster cycle confirmed adequate staff cover has been provided, with staff replaced in any unplanned absence. A ‘floating’ staff person is now rostered for a short afternoon shift as part of the falls prevention project and early indications are that this is helping reduce the number of such incidences. Registered nurses are given additional time to complete required paperwork and all registered nurses and the diversional therapist/activities coordinator have a current first aid certificate, as do the receptionist and the maintenance person as they often drive the van for residents’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and enters them into the system.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self-administer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(23 January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Grey District Council current until 17 January 2021. Food temperatures, including for high risk items, are monitored appropriately and recorded as part of the plan. All kitchen staff have completed relevant food handling training as evidenced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good standard. Care staff confirmed that care was provided as outlined in the documentation and that they had opportunity to have input in the care planning process. A range of equipment and resources was available, suited to the level of care provided and in accordance with the residents’ needs such as pressure relieving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and an activities coordinator who has commenced her training. A social profile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on a daily basis in response to residents’ feedback and engagement as well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with community involvement from entertainers. Residents are advised of each day’s activities via a calendar in their rooms, a noticeboard in the lounge and an invite from activity staff during a daily visit to each resident’s room. Residents and families/whānau are involved in evaluating and improving the programme through residents’ meetings.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The stop and watch system of review is used if care staff see a change in a residents’ condition.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 Multidisciplinary meetings are held six-monthly and family have opportunity for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issued 1 July 2020 with a twelve-month timeframe is publicly displayed. There have been no modifications made to the facility since the previous certification audit, although remedial work was undertaken with smoke alarms due to the frequency of false fire alarm callouts.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Infection Prevention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care home manager and quality committee. Data is benchmarked externally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coordination role is undertaken by the clinical services manage. This person provides support and oversight for enabler and restraint management in the facility and demonstrated a sound understanding of the organisation’s policies, procedures and practice and their responsibilities. Documents describe restraint related responsibilities and accountabilities of the care manager, the clinical manager, restraint coordinator, registered nurse and enrolled nurses and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restraints and four residents were using bed rails as enablers, at their own request. There is a similar process for the use of enablers as is used for restraints. A restraint register records approvals and reviews of enabler and restraint use. Staff described the restraint monitoring processes, which were confirmed in files reviewed.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Granger House Lifecare</w:t>
    </w:r>
    <w:bookmarkEnd w:id="58"/>
    <w:r>
      <w:rPr>
        <w:rFonts w:cs="Arial"/>
        <w:sz w:val="16"/>
        <w:szCs w:val="20"/>
      </w:rPr>
      <w:tab/>
      <w:t xml:space="preserve">Date of Audit: </w:t>
    </w:r>
    <w:bookmarkStart w:id="59" w:name="AuditStartDate1"/>
    <w:r>
      <w:rPr>
        <w:rFonts w:cs="Arial"/>
        <w:sz w:val="16"/>
        <w:szCs w:val="20"/>
      </w:rPr>
      <w:t>13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