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Nazareth Care Charitable Trust - Nazareth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Nazareth Care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Nazareth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September 2020</w:t>
      </w:r>
      <w:bookmarkEnd w:id="7"/>
      <w:r w:rsidRPr="009418D4">
        <w:rPr>
          <w:rFonts w:cs="Arial"/>
        </w:rPr>
        <w:tab/>
        <w:t xml:space="preserve">End date: </w:t>
      </w:r>
      <w:bookmarkStart w:id="8" w:name="AuditEndDate"/>
      <w:r w:rsidR="00A4268A">
        <w:rPr>
          <w:rFonts w:cs="Arial"/>
        </w:rPr>
        <w:t>9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Nazareth Community of Care provides rest home and hospital level care for up to 80 residents in a modern, spacious, purpose-built facility. The service is operated by the Sisters of Nazareth as part of its Australasian operation. The Christchurch site is its only New Zealand based facility. It is managed by a general manager with responsibility for the overall operation who is supported by a clinical services manager. Residents and families were positive about the standard of care provided and the values of the organisation.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Canterbury District Health Board (CDHB). The audit process included review of policies and procedures, review of residents’ and staff files, observations and interviews with residents, family members, managers, staff, contracted allied health providers and a general practitioner.</w:t>
      </w:r>
    </w:p>
    <w:p w:rsidRPr="00A4268A">
      <w:pPr>
        <w:spacing w:before="240" w:line="276" w:lineRule="auto"/>
        <w:rPr>
          <w:rFonts w:eastAsia="Calibri"/>
        </w:rPr>
      </w:pPr>
      <w:r w:rsidRPr="00A4268A">
        <w:rPr>
          <w:rFonts w:eastAsia="Calibri"/>
        </w:rPr>
        <w:t>This audit has resulted in a continuous improvement rating for the activities programme and identified areas requiring improvements relating to governance and staff orientation records.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Clinical Services Manager with support of General Manager is responsible for management of complaints. A complaints register is maintained and demonstrated that complaints have been resolved promptly and effectively. Residents and families are informed about their right to complain and are supported to do so.</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Nazareth Care Australasia is the organisation’s governing body responsible for the service provided at this facility.  Nine trustees make up the board which includes laypersons and two board members appointed from New Zealand. The general manager reports to the Australian-based chief executive officer (CEO).  Strategic and business plans are documented and supported by quality and risk management processes. Systems are in place for monitoring the services provided, including regular monthly reporting to the general manager, who in turn, reports to the chief executive and governing body.</w:t>
      </w:r>
    </w:p>
    <w:p w:rsidRPr="00A4268A">
      <w:pPr>
        <w:spacing w:before="240" w:line="276" w:lineRule="auto"/>
        <w:rPr>
          <w:rFonts w:eastAsia="Calibri"/>
        </w:rPr>
      </w:pPr>
      <w:r w:rsidRPr="00A4268A">
        <w:rPr>
          <w:rFonts w:eastAsia="Calibri"/>
        </w:rPr>
        <w:t xml:space="preserve">The facility is managed by an experienced and suitably qualified general manager who is a registered nurse with a background in legal and business management. A quality and risk management system is in place which includes an annual calendar of internal audit activity, monitoring of complaints and incidents, health and safety, infection control, restraint minimisation and resident and family satisfaction.  Collection, collation, and analysis of quality improvement data including benchmarking, is occurring, and reported to the quality and other staff meetings. Trends are identified and followed up where necessary. Meeting minutes, graphs of clinical indicators and benchmarking results are available. Adverse events are documented on accident/incident forms and seen as an opportunity for improvement. Corrective action and continuous improvement plans are developed, implemented, monitored, and signed off when completed.  Formal and informal feedback from residents and families is used to improve services.  Actual and potential risks are identified and mitigated with up to date hazard registers.  </w:t>
      </w:r>
    </w:p>
    <w:p w:rsidRPr="00A4268A">
      <w:pPr>
        <w:spacing w:before="240" w:line="276" w:lineRule="auto"/>
        <w:rPr>
          <w:rFonts w:eastAsia="Calibri"/>
        </w:rPr>
      </w:pPr>
      <w:r w:rsidRPr="00A4268A">
        <w:rPr>
          <w:rFonts w:eastAsia="Calibri"/>
        </w:rPr>
        <w:t xml:space="preserve">A suite of policies and procedures cover the necessary areas, were current and reviewed regularly. </w:t>
      </w:r>
    </w:p>
    <w:p w:rsidRPr="00A4268A">
      <w:pPr>
        <w:spacing w:before="240" w:line="276" w:lineRule="auto"/>
        <w:rPr>
          <w:rFonts w:eastAsia="Calibri"/>
        </w:rPr>
      </w:pPr>
      <w:r w:rsidRPr="00A4268A">
        <w:rPr>
          <w:rFonts w:eastAsia="Calibri"/>
        </w:rPr>
        <w:t xml:space="preserve">The human resources management policies are based on current good practice.  These guide the system for recruitment, appointment, and management of staff. A comprehensive orientation and staff training programme ensures staff are competent to undertake their role.  There is a systematic approach to identify, plan, facilitate and record ongoing training to support safe service delivery, including specific training in relation to Covid-19. </w:t>
      </w:r>
    </w:p>
    <w:p w:rsidRPr="00A4268A">
      <w:pPr>
        <w:spacing w:before="240" w:line="276" w:lineRule="auto"/>
        <w:rPr>
          <w:rFonts w:eastAsia="Calibri"/>
        </w:rPr>
      </w:pPr>
      <w:r w:rsidRPr="00A4268A">
        <w:rPr>
          <w:rFonts w:eastAsia="Calibri"/>
        </w:rPr>
        <w:t>Staffing levels and skill mix meet contractual requirements and the changing needs of residents. There is an on-call roster of senior registered nurses.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hard copy files or the electronic medicine management records.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Nazareth House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wellbeing and lifestyle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was purpose built in 2016 following the Christchurch earthquakes. All rooms are single with ensuite bathrooms, large bedroom spaces and with furniture including ceiling hoist options. </w:t>
      </w:r>
    </w:p>
    <w:p w:rsidRPr="00A4268A">
      <w:pPr>
        <w:spacing w:before="240" w:line="276" w:lineRule="auto"/>
        <w:rPr>
          <w:rFonts w:eastAsia="Calibri"/>
        </w:rPr>
      </w:pPr>
      <w:r w:rsidRPr="00A4268A">
        <w:rPr>
          <w:rFonts w:eastAsia="Calibri"/>
        </w:rPr>
        <w:t xml:space="preserve">All building and plant complies with legislation and a current building warrant of fitness was displayed.  A comprehensive preventative and reactive maintenance programme is implemented.   </w:t>
      </w:r>
    </w:p>
    <w:p w:rsidRPr="00A4268A">
      <w:pPr>
        <w:spacing w:before="240" w:line="276" w:lineRule="auto"/>
        <w:rPr>
          <w:rFonts w:eastAsia="Calibri"/>
        </w:rPr>
      </w:pPr>
      <w:r w:rsidRPr="00A4268A">
        <w:rPr>
          <w:rFonts w:eastAsia="Calibri"/>
        </w:rPr>
        <w:t xml:space="preserve">Communal areas are spacious which includes dining and lounge areas as well as smaller cosy spaces for residents and family use.  The building is maintained at a comfortable temperature. Shaded external areas with seating are available in a large central courtyard and other outdoor spaces.  </w:t>
      </w:r>
    </w:p>
    <w:p w:rsidRPr="00A4268A">
      <w:pPr>
        <w:spacing w:before="240" w:line="276" w:lineRule="auto"/>
        <w:rPr>
          <w:rFonts w:eastAsia="Calibri"/>
        </w:rPr>
      </w:pPr>
      <w:r w:rsidRPr="00A4268A">
        <w:rPr>
          <w:rFonts w:eastAsia="Calibri"/>
        </w:rPr>
        <w:t>Implemented policies guide the management of waste and hazardous substances with contracts in place with waste management providers. Protective equipment and clothing are provided and used by staff. Chemicals, soiled linen, and equipment are safely stored in dedicated area. All laundry is undertaken onsite in a well-appointed laundry.  Systems used are monitored to evaluate effectiveness.</w:t>
      </w:r>
    </w:p>
    <w:p w:rsidRPr="00A4268A">
      <w:pPr>
        <w:spacing w:before="240" w:line="276" w:lineRule="auto"/>
        <w:rPr>
          <w:rFonts w:eastAsia="Calibri"/>
        </w:rPr>
      </w:pPr>
      <w:r w:rsidRPr="00A4268A">
        <w:rPr>
          <w:rFonts w:eastAsia="Calibri"/>
        </w:rPr>
        <w:t>Emergency procedures are documented and displayed. Regular fire drills are completed and there is a sprinkler system and call points installed in case of fire.  Access to an emergency power source is available. Residents report a timely staff response to call bells.  A contracted security company monitors the facility each night.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Four enablers and nine restraints were in use at the time of audit. Restraint is only used as a last resort when all other options have been explored. A comprehensive assessment, approval and monitoring process with regular reviews are overseen by the restraint coordinator. Enabler use is voluntary for the safety of residents in response to individual requests. </w:t>
      </w:r>
    </w:p>
    <w:p w:rsidRPr="00A4268A">
      <w:pPr>
        <w:spacing w:before="240" w:line="276" w:lineRule="auto"/>
        <w:rPr>
          <w:rFonts w:eastAsia="Calibri"/>
        </w:rPr>
      </w:pPr>
      <w:r w:rsidRPr="00A4268A">
        <w:rPr>
          <w:rFonts w:eastAsia="Calibri"/>
        </w:rPr>
        <w:t>Staff receive training at orientation and thereafter every two years using and Altura online learning module. This includes all required aspects of restraint and enabler use, alternatives to restraint and dealing with difficult behaviours.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74"/>
        <w:gridCol w:w="1280"/>
        <w:gridCol w:w="99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Nazareth Community of 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Staff interviewed described how they implement the rights, including open disclosure, into everyday practice. This was verified in the resident interviews and observed in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as part of the admission agreement. Separate consent for the wellbeing and lifestyle programme, advance care planning and decisions about cardiopulmonary resuscitation (CPR) were documented on residents’ files reviewed. Establishing and documenting enduring power of attorney requirements and processes for residents unable to consent is defined and documented, as relevant, in the resident’s record.  Staff were observed to gain consent for day to day care and residents interviewed stated they were provided with enough information to give consent.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although outside activities have been restricted due to the Covid-19 pandemic links have been maintained through the use of electronic media. Residents valued the links with the church community and visits from parishioners to residents who were priests or nuns were welcomed by staff.</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restricted visiting hours due to Covid-19, however, visits from residents’ families and friends are encouraged when possible. Residents, and family members interviewed understood the restrictions and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comments and complaints policy and associated forms meet the requirements of Right 10 of the Code. The information is provided to residents in the admission pack and complaints information and forms were sighted in three key areas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complaints received over the past year average about one per month (12 in 2019). Appropriate actions are taken, through to an agreed resolution. All formal complaints are documented and completed within the timeframes specified in the Code as demonstrated in a sample of 2020 complaints reviewed.  Action plans reviewed showed any required follow up and improvements have been made where possible.  The organisation has a focus on acting on feedback from residents and family/whānau, and there are numerous examples noted where this had led to quality improvement activity.</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with support of General Manager is responsible for complaints management and follow up, with support from the clinical services manager. All staff interviewed confirmed a sound understanding of the complaint process, what actions they take and how this will be recorded and followed up. There were no complaints under investigation by the Health and Disability Commissioner and none recorded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through documents included as part of the admission information provided and discussion with staff. The Code is displayed in communal areas close to the nurses’ station on both floors and Health and Disability Commissioners (HDC) pamphlets together with information on advocacy services are available. Information on how to make a complaint and feedback forms are available in the main reception area.</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as part of the admission information pack and discussing these rights with staff. They stated they were aware of their rights, how to make a complaint and of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the rights of the resident and observed to maintain privacy throughout the audit.  All residents have a private room. Door signage is available if a resident wants privacy, does not want to be disturbed, or to have visitors. In addition to bedrooms, there are other spaces where residents and families can have private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and participation in activities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their cultural beliefs and wishes were respected and had high praise for the quality of care provided at the facility. Residents particularly valued the spiritual support provided as part of the special catholic character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and, when interviewed, discussed the process to report abuse and neglect if they were to suspect it.  Education on abuse and neglect was confirmed to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policy, developed with input from cultural advisers, to guide staff which describes the commitment to providing culturally appropriate care in partnership with Māori residents.  Guidance on tikanga best practice is available. A Māori resident interviewed reported that staff acknowledged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Spiritual wishes are documented as part of the pastoral care and spiritual assessment completed and sighted in files reviewed. The facility philosophy is underpinned by the Sisters of Nazareth mission and residents interviewed valued the Catholic special character and the being able to attend Mass daily. One resident who leads the Rosary daily stated staff respected her wishes and work with her to be ready each morning.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called by their preferred name as was evident in residents’ files and observed during the audit. The involvement of resident and family in the development and review of care planning was documented. Feedback from the residents interviewed confirmed that their individual needs were identified, respected and were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Staff professionalism is monitored through the complaints management system, resident feedback and the incident reporting and investigation process.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speech language therapists, psychogeriatrician and mental health services for older persons, and education of staff. The general practitioner (GP) confirmed the service sought prompt and appropriate medical intervention when required and were responsive to medical requests. He described the staff as being clinically astute and providing a high level of care. </w:t>
            </w:r>
          </w:p>
          <w:p w:rsidR="00EB7645" w:rsidRPr="00BE00C7" w:rsidP="00BE00C7">
            <w:pPr>
              <w:pStyle w:val="OutcomeDescription"/>
              <w:spacing w:before="120" w:after="120"/>
              <w:rPr>
                <w:rFonts w:cs="Arial"/>
                <w:b w:val="0"/>
                <w:lang w:eastAsia="en-NZ"/>
              </w:rPr>
            </w:pPr>
            <w:r w:rsidRPr="00BE00C7">
              <w:rPr>
                <w:rFonts w:cs="Arial"/>
                <w:b w:val="0"/>
                <w:lang w:eastAsia="en-NZ"/>
              </w:rPr>
              <w:t>Nursing staff interviewed were able to discuss where they would find best practice evidence and education online including use of Lippincott procedures for evidence-based guidelines and HealthLearn for online education. They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spirituality assessments and care and the resident wellbeing and lifestyle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or 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through the DHB, although reported this was rarely required as residents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Nazareth Care Australasia is the governing body of Nazareth Community of Care through the Nazareth Care Charitable Trust. Trustees include the Sisters of Nazareth who established the Christchurch facility in 1905. The current site has been remediated following the Christchurch earthquakes in 2010/11 resulting in a state-of-the-art purpose-built facility.</w:t>
            </w:r>
          </w:p>
          <w:p w:rsidR="00EB7645" w:rsidRPr="00BE00C7" w:rsidP="00BE00C7">
            <w:pPr>
              <w:pStyle w:val="OutcomeDescription"/>
              <w:spacing w:before="120" w:after="120"/>
              <w:rPr>
                <w:rFonts w:cs="Arial"/>
                <w:b w:val="0"/>
                <w:lang w:eastAsia="en-NZ"/>
              </w:rPr>
            </w:pPr>
            <w:r w:rsidRPr="00BE00C7">
              <w:rPr>
                <w:rFonts w:cs="Arial"/>
                <w:b w:val="0"/>
                <w:lang w:eastAsia="en-NZ"/>
              </w:rPr>
              <w:t>Strategic and business planning is undertaken by the board for the wider organisation. Plans sighted outlined the scope, direction and goals of the organisation which incorporates the values of the Sisters of Nazareth (love, compassion, patience, justice, respect, and hospitality).  Documents reviewed described annual and longer-term objectives with associated operational planning relevant to the Christchurch facility in its business plan.  The general manager (GM) provides a monthly report against the key business performance indicators to the CEO and the board of directors. A sample of reports reviewed showed adequate information to monitor performance is routinely reported including occupancy, financial performance, emerging risks, and other operational issues.  The governance structure encompasses Nazareth Community of Care Australasia interests, and although there are long established governance structures in place, there is an absence of a formalised clinical governance framework to provide oversight and direction for delivering best practice care, particularly within the New Zealand health care jurisdiction.  Governance and operational documentation seldom reflects the New Zealand requirements for the aged residential care environment (see criterion 1.2.1.1) and frequently only references Australian standards, guidelines, and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GM who holds relevant nursing qualifications and has a background in law and business, and management and audit of aged care facilities in New Zealand.  She has been in the role for four years and is suitably skilled and experienced for the role. Responsibilities and accountabilities are clearly defined. The GM confirmed knowledge of the sector, regulatory, Ministry of Health and other mandatory reporting body requirements. She maintains currency through her professional networks including Canterbury District Health Board (CDHB), the New Zealand Aged Care Association and support from Nazareth Care Australasia. The GM is supported by the clinical services manager for the day to day operation.  In addition, there is an operations and clinical risk committee which includes infection control, quality and health and safety, staff team meetings including the catering. These teams meet at differing frequency – weekly, monthly to bimonthly. </w:t>
            </w:r>
          </w:p>
          <w:p w:rsidR="00EB7645" w:rsidRPr="00BE00C7" w:rsidP="00BE00C7">
            <w:pPr>
              <w:pStyle w:val="OutcomeDescription"/>
              <w:spacing w:before="120" w:after="120"/>
              <w:rPr>
                <w:rFonts w:cs="Arial"/>
                <w:b w:val="0"/>
                <w:lang w:eastAsia="en-NZ"/>
              </w:rPr>
            </w:pPr>
            <w:r w:rsidRPr="00BE00C7">
              <w:rPr>
                <w:rFonts w:cs="Arial"/>
                <w:b w:val="0"/>
                <w:lang w:eastAsia="en-NZ"/>
              </w:rPr>
              <w:t>The Nazareth Community of Care provides services under the DHB Aged Related Residential Care Agreement and currently also holds a contract with the Accident Compensation Corporation contract (ACC) for one resident. On the day of audit there were 27 rest home level residents and 51 residents receiving hospital level care. No residents were receiving end of life care or respite care at the time of audit. Hospital and rest home care is integrated across both levels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GM, the clinical services manager carries out all the required duties under delegated authority. There is ready access to the CEO based in Australia for additional guidance. During absences of key clinical staff, the clinical management is overseen by the clinical services manager or unit managers. Unit managers provide 24/7 call support for staff, including registered nurses, on a two week on/two week off basis. Staff reported these current arrangements are effective and reliable.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was understood by staff.  This includes management of adverse events and complaints, internal audit activities, regular resident and family surveys and a separate staff satisfaction survey, monitoring of outcomes and clinical incidents including infections, falls and restraint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reviewed for 2020 confirmed adequate reporting systems and discussion occurs at meetings on quality matters.  Regular review and analysis of quality indicators occurs, with benchmarking occurring with five sister facilities in Australia and, more recently, Quality Systems Party (QPS) benchmarking for aged residential care across Australasia. Samples of benchmarked clinical indicator reports indicated some comparable results and outliers. For example, recent results showed higher numbers of urinary tract infections, restraint use and falls in comparison to other benchmarked facilities.  These results are under review.  Information is reported and discussed at the operations and clinical risk meetings and staff meetings. Minutes reviewed included discussion on pressure injuries, restraints, falls, complaints, and other feedback received, incidents, infections, and internal audit results. </w:t>
            </w:r>
          </w:p>
          <w:p w:rsidR="00EB7645" w:rsidRPr="00BE00C7" w:rsidP="00BE00C7">
            <w:pPr>
              <w:pStyle w:val="OutcomeDescription"/>
              <w:spacing w:before="120" w:after="120"/>
              <w:rPr>
                <w:rFonts w:cs="Arial"/>
                <w:b w:val="0"/>
                <w:lang w:eastAsia="en-NZ"/>
              </w:rPr>
            </w:pPr>
            <w:r w:rsidRPr="00BE00C7">
              <w:rPr>
                <w:rFonts w:cs="Arial"/>
                <w:b w:val="0"/>
                <w:lang w:eastAsia="en-NZ"/>
              </w:rPr>
              <w:t>Quality activities are monitored through software known as “Angel Trend”, with numerous examples reviewed. Staff reported their involvement in quality and risk activities through completion of a wide range of audit activities, participation in meetings and, more recently in a newly implemented online learning platform.  Corrective action planning is undertaken to achieve continuous improvement, with a number of examples reviewed or completed. The organisation demonstrated a commitment to continuous quality improvement processes with the team proactively seeking opportunities for improvement and action plans put in place. Resident and family surveys are completed annually. The last survey showed a 91% satisfaction rate. Results achieved are at a consistently high level. There are examples where suggestions or comments within the resident survey have been used as improvement opportunities. A staff survey was initiated from Nazareth Care Australasia during the Covid-19 lockdown. This reflected lower staff satisfaction levels compared with the previously high levels which had been recorded.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and were current.  Primarily, the organisation uses hard copy policies which are available throughout the facility, however this is likely to change with the adoption of a new patient management system in late 2020 which includes document management. The document control system ensures a systematic and regular review process, referencing of relevant sources, approval, distribution, and removal of obsolete documents. Staff are updated on new policies or changes to policies through staff meetings and meeting minutes.  Some organisational documents lack reference to New Zealand standards, legislation, and regulation (see standard 1.2.1).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described the processes for the identification, monitoring and reporting of risks. The regional risk register showed consistent review and updating of risks, risk plans and the addition of new risks.  Mitigation strategies were in place including for various site hazards. The health and safety officer is a personal care assistant who has attended external training in the Health and Safety at Work Act (2015) requirements. She is also proactive as part of any return to work programmes required and raising awareness of health and safety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and near miss events are recorded on a hard copy accident/incident form. A sample of incidents forms reviewed showed these were fully completed, incidents were investigated, action plans developed, and actions followed-up in a timely manner.  Incidents are logged into the electronic software which enables collation, analysis and trending via reports and graphs. Meeting minutes reviewed showed discussion in relation to trends, action plans and improvements made at the various committees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Compulsory Reporting (NZ) policy describes essential notification reporting requirements. The GM advised there has been one notifications of a significant event in relation to a pressure injury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 line with good employment practice and relevant legislation, guide human resources management processes at Nazareth Community of Care. Position descriptions have been developed for all roles and those reviewed defined the key tasks and accountabilities for each role. The recruitment process includes referee checks, police vetting and validation of qualifications and practising certificates (APCs), where required.   A sample of staff records reviewed confirmed the organisation’s policies are being consistently implemented and records are systematically maintained. Twelve staff files were reviewed, including newly recruited staff.  There is a system to ensure annual practising certificates are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 staff orientation workbook has been developed and implemented for clinical staff and a number of these were reviewed.   However, not all orientation workbooks had been signed off by the verifier in spite of the records showing that orientation had been fully completed. Improvement is required in relation to this (see criterion 1.2.7.4).  Staff interviewed reported that the orientation process adequately prepared them for their role, and they were well supported throughout their 90-day orientation period. Non-clinical staff have a modified orientation, which covers all key requirements of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to use both on line learning and face to face sessions. This includes mandatory training topics, as required by the Aged Related Residential Care Agreement. Key competencies completed include infection control and hand hygiene, medication administration and restraint. Wound management and pressure injury training has occurred. Attendance records for group sessions are maintained and online completion certificates are filed in individual staff files.  </w:t>
            </w:r>
          </w:p>
          <w:p w:rsidR="00EB7645" w:rsidRPr="00BE00C7" w:rsidP="00BE00C7">
            <w:pPr>
              <w:pStyle w:val="OutcomeDescription"/>
              <w:spacing w:before="120" w:after="120"/>
              <w:rPr>
                <w:rFonts w:cs="Arial"/>
                <w:b w:val="0"/>
                <w:lang w:eastAsia="en-NZ"/>
              </w:rPr>
            </w:pPr>
            <w:r w:rsidRPr="00BE00C7">
              <w:rPr>
                <w:rFonts w:cs="Arial"/>
                <w:b w:val="0"/>
                <w:lang w:eastAsia="en-NZ"/>
              </w:rPr>
              <w:t>A high proportion of staff have completed their level three or four certificate (a total of 26 care staff), with a further 10 holding the level 2 National Certificate in Health and Wellbeing to meet the requirements of the provider’s agreement with the DHB.  A further six staff are about to commence the programme. Nine registered and enrolled nurses are interRAI trained and a further two staff are undergoing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performance appraisals are undertaken for all staff groups.  Those reviewed were current.  Staff reported that the annual performance appraisal provides an opportunity to discuss individual training needs or where additional support may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(updated in 2019) for determining staffing levels and skill mixes in order to provide safe service delivery.  The GM reports that acuity is managed effectively by ensuring that levels of care are maintained at approximately 50 hospital level and 30 rest home level care residents. The set rosters reviewed show appropriate skill mixes are maintained over all shifts.  Nazareth Community of Care has a contract with a nursing bureau to fill any short notice roster gaps.  </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An additional flexible shift can be added (float shift) if needed (eg, when there is a new complex resident admitted to the facility – this is currently in place for morning shift). The minimum number of staff is provided during the night shift and consists of a registered nurse and two caregivers on each level.  An early start shift is designed to assist residents who wish to attend mass at 10am to do so.   Afterhours, two unit managers share two weeks on/two weeks off call rotation.  Care staff interviewed reported adequate staff were available and that they were able to complete the work allocated to them.  This was also supported by residents and family/whānau interviewed. Observations and review of the weekly roster cycle sampled (current and projected) confirmed adequate staff cover is planned and provided.  At least one staff member on duty has a current first aid certificate and there is 24 hour/seven days a week (24//7) registered nurse cover on both levels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comprehensive and integrated with GP and allied health service provider notes. This includes interRAI assessment information entered into the Momentum electronic database.  All resident records reviewed contained the resident’s unique identifier, the NHI.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family and the resident’s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 information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level care resident used in tracer methodology was transferred to an acute hospital during the audit. Documentation was comprehensive and transfer information was informative.  The wife of the resident reported being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including the management of subcutaneous medications using syringe drivers.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checks medications against the prescription. All medications sighted were within current use by dates. Clinical pharmacist input is provided as required and was evident in the charts reviewed.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 Allergies and sensitivities are clearly recorded on the resident’s file and on their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self-administering medications at the time of audit. Appropriate processes were in place to ensure this was managed in a safe manner and the registered nurse interviewed was able to describe the process to be followed, including resident assessment, education and medication storage should this occur.</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reporting of any medication errors. Review of records confirmed this process is followed, medication errors are investigated and there is follow up with staff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Christchurch City Council. Food temperatures, including for high risk items, are monitored appropriately and recorded as part of the plan. The catering manager and kitchen assistants have completed relevant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this is updated as the resident’s needs change. The personal food preferences, any special diets and modified texture requirements are made known to kitchen staff and accommodated in the daily meal plan.  Special equipment, to meet resident’s nutritional needs, is available.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with meals was very high with food being described as excellent; this was verified by resident and family interviews. The catering manager stated he understood the importance of food and meal service in the lives of the residents and this is evidenced in the standard of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a suite of validated assessment tools as referred to above to identify any deficits and to inform care planning. Care plan are based on the assessed need and included outcome goals and interventions based on the resident’s wishes.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wellbeing and lifestyle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states that caring for, acknowledging, and understanding individual needs is central to the Nazareth Way. 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known as the wellbeing and lifestyle programme is a strength of the service. It is provided by a trained diversional therapist holding the national Certificate in Diversional Therapy supported by an assistant who is undertaking diversional therapy training and volunteers. All staff understand the importance of the programme to the lives of residents. There is integration with the provision of spiritual care, the church and the Sisters of Mercy who are an integral part of Nazareth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on admission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such as a recent market day. Facilities include rooms for small gatherings, a larger activities room and a cinema. Individual, group activities and regular events are offered, a register of attendance is kept and reviewed to monitor the popularity of activities. Puzzles, board games and books are available for residents’ use. Residents and families are involved in evaluating and improving the programme through residents’ meetings and satisfaction surveys. Residents interviewed confirmed they find the programme varied and interesting. Examples are given where the wellbeing and lifestyle programme is making a significant difference to residents’ lives. This area is rated as continuous improvement (CI).</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Progress notes provide a detailed evaluation of actions taken and progress towards individualised and personalised goals.  If any change is noted, it is reported to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pressure injuries.  When necessary, and for unresolved problems, long term care plans are added to and updated. This was evident in resident files reviewed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registered nurse sends a referral to seek specialist input.  Copies of referrals were sighted in residents’ files, including internal referrals to the pressure injury link nurse and external referral to speech language therapist for assessment of swallowing. The resident and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 On the day of audit one resident was transferred to the public hospital. Comprehensive resident information was sent with the resident and, when interviewed, his wife said she had been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were in place. There is a current hazardous substances policy.  No hazardous chemicals were stored on site which required a hazardous chemical rating for the quantity on hand.  </w:t>
            </w:r>
          </w:p>
          <w:p w:rsidR="00EB7645" w:rsidRPr="00BE00C7" w:rsidP="00BE00C7">
            <w:pPr>
              <w:pStyle w:val="OutcomeDescription"/>
              <w:spacing w:before="120" w:after="120"/>
              <w:rPr>
                <w:rFonts w:cs="Arial"/>
                <w:b w:val="0"/>
                <w:lang w:eastAsia="en-NZ"/>
              </w:rPr>
            </w:pPr>
            <w:r w:rsidRPr="00BE00C7">
              <w:rPr>
                <w:rFonts w:cs="Arial"/>
                <w:b w:val="0"/>
                <w:lang w:eastAsia="en-NZ"/>
              </w:rPr>
              <w:t>Cleaning chemicals are stored and refilled in designated cleaners’ rooms in each wing.  These are locked with restricted swipe access. Commercial products are in labelled containers.  An external company is contracted to supply and manage all chemicals and cleaning products and they also provide relevant training with these records noted in staff files. Cleaning trolleys have locked cupboards for storing any cleaning products in use. Material safety data sheets are available where chemicals are stored, and staff interviewed knew what to do should any chemical spill/event occur.   Any related incidents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including gloves, plastic aprons, and eye protection.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(expires October 2020) was publicly displayed in the entry.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were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 medical equipment was current as confirmed in documentation reviewed, interviews with maintenance personnel and observation of the environment.  Nazareth Community of Care has excellent maintenance support, with contracts with local external providers to maintain the wide range of equipment in use, including building maintenance system monitoring, the generator, water systems and lifts. Hot water temperatures are managed via the building maintenance systems, but also randomly checked each month at the tap (records sighted and in the correct range).</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The environment was conducive to the range of activities undertaken in the areas, including a large internal courtyard with shading and a raised stage area and seating.  The environment was hazard free, with wider than average hallways and residents were safe. Residents interviewed confirmed they know the processes they should follow if any repairs or maintenance are required and that any requests are appropriately actioned.  A maintenance book is available for each wing and this was signed off when the repairs or maintenance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eighty residents’ rooms have their own spacious ensuite.  A separate bathroom with an accessible Parker bath is available in each wing. There are adequate numbers of accessible bathrooms and toilets throughout the facility, including near activity, dining and lounge areas.  There are 10 wheelchair accessible public toilets throughout the building plus visitor toilets (two in each wing). Appropriately secured and approved handrails are provided in the toilet/shower areas and ensuites,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in larger rooms (29sq metres), with some built in furniture and display shelves for personal items.  Rooms are personalised with furnishings, photos and other personal items displayed.  Bedrooms all have the ability to add a ceiling hoist to the already fitted track if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walking frames and wheelchairs. Staff and residents reported the adequacy and convenience of the bedrooms. Mobility scooters are stored and charged appropriately and did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relaxation.  The dining and lounge areas are spacious and enable easy access for residents and staff.  There is a café area adjacent to the entrance and large chapel, enabling residents to socialise after mass each morning. Residents can access areas for privacy such as small ‘Breakout” lounges and a small kitchen in each wing, if required.  Furniture is appropriate to the setting and residents’ needs.  It is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 site in a dedicated laundry using commercial washers and dryers. Resident’s personal items are laundered on site or by family members if requested.  Residents interviewed reported the laundry is managed well and their clothes are returned in a timely manner. A labelling service is available. The laundry is currently operated by trained laundry staff, who demonstrated a sound knowledge of the laundry processes, dirty/clean flow, and handling of soiled linen. </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including an infection control update in relation to Covid-19.  An interview of cleaning staff and training records indicated that staff are aware of the correct processes, use of cleaning products, additional cleaning of high touch areas.  Chemicals are stored in a locked cleaners’ cupboards in the wings and in correctly labelled containers (see also comments in standard 1.4.1). Spot cleaning of carpets can be undertaken with on-site equipment; however, larger carpet cleaning tasks are contracted out. Cleaning and laundry processes are monitored through the internal audit programme. Observation of the environment indicated a high standard of cleaning was maintained throughout.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Information is provided to new staff as part of the orientation programme. Disaster and civil defence planning guidance is available should there be a disaster.  This includes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4 November 2016.  A trial evacuation takes place six-monthly with a copy sent to the New Zealand Fire Service, the most recent being on 10 February 2020. The orientation programme includes fire and security training with ongoing training included in the Altura on line modules.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include food, water, blankets, torches, and batteries, meet the requirements for eighty residents. A civil defence kit “wheelie bin” with the essentials is located in each wing and the contents checked three monthly. There is an 8000 litre water storage tanks located around the complex, and a groundwater well is available on site for non-potable water. Emergency lighting is regularly tested. A standby generator can run 24 hours over seven days at full load and is maintained and regularly tested, including blackout testing.   The facility is well prepared for emergencies including earthquakes following the rebuild subsequent to the Christchurch earthquakes in 2010/11. First Aid supplies are located on each level in the medical room, with a contractor first aid kit held at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These silently alert to a screen in the wings and DECT phone system carried by staff.   Call system audits are completed on a regular basis. Few concerns have been raised about response times, with most residents stated they are satisfied that staff are “pretty good”.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with an external company providing on site checks overnight. The external gates, doors and windows are locked automatically at a predetermined time.  There is closed circuit TV monitoring located at the nurses’ station which external entrances and service corridor. Residents are made aware of this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There are external opening doors to access the large courtyard.</w:t>
            </w:r>
          </w:p>
          <w:p w:rsidR="00EB7645" w:rsidRPr="00BE00C7" w:rsidP="00BE00C7">
            <w:pPr>
              <w:pStyle w:val="OutcomeDescription"/>
              <w:spacing w:before="120" w:after="120"/>
              <w:rPr>
                <w:rFonts w:cs="Arial"/>
                <w:b w:val="0"/>
                <w:lang w:eastAsia="en-NZ"/>
              </w:rPr>
            </w:pPr>
            <w:r w:rsidRPr="00BE00C7">
              <w:rPr>
                <w:rFonts w:cs="Arial"/>
                <w:b w:val="0"/>
                <w:lang w:eastAsia="en-NZ"/>
              </w:rPr>
              <w:t>A boiler heating system fuelled by wood pellets provides an automatically adjusted heating at set temperatures as well as heaters in each room.  Heating is controlled through the computerised building management system.  A feature gas fire is located in the “marketplace” area of the facility and was observed to be enjoyed by both residents and family members. The facility was warm and well ventilated.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DHB clinical nurse specialist for infection prevention and control.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who is a registered nurse is the designated IPC coordinator, whose role and responsibilities are defined in policy. Infection control matters, including surveillance results, are reported monthly to the clinical service manager, and tabled at the quality, health and safety and IPC committee meeting.  This committee includes the general manager, clinical service manager, unit managers, IPC coordinator, the health and safety representative,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As a result of the Covid-19 pandemic extra signage has been placed at the entrance to the facility and electronic sign in for visitors now includes a health declaration.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outbreak management group was convened in response to the Covid-19 threat. Meeting minutes sighted showed appropriate planning for a possible outbreak was in place. </w:t>
            </w:r>
          </w:p>
          <w:p w:rsidR="00EB7645" w:rsidRPr="00BE00C7" w:rsidP="00BE00C7">
            <w:pPr>
              <w:pStyle w:val="OutcomeDescription"/>
              <w:spacing w:before="120" w:after="120"/>
              <w:rPr>
                <w:rFonts w:cs="Arial"/>
                <w:b w:val="0"/>
                <w:lang w:eastAsia="en-NZ"/>
              </w:rPr>
            </w:pPr>
            <w:r w:rsidRPr="00BE00C7">
              <w:rPr>
                <w:rFonts w:cs="Arial"/>
                <w:b w:val="0"/>
                <w:lang w:eastAsia="en-NZ"/>
              </w:rPr>
              <w:t>Staff are encouraged to have a seasonal flu vaccine which is provided by Nazareth House.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provides guidance for staff about how long they must stay away from work if they have been unwell and staff are required to sign a Covid-19 health declaration at the start of each shift.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nine months.  She has undertaken online education in infection prevention and control,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PPE stocks, outbreak management signage and supplies were sighted during the audit. These have been audited by the DHB and found to be sufficient.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June 2020 and include appropriate references. Information for staff on the prevention and management of Covid-19 has been prepared and communicated.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online,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An example of this occurred due to a respiratory outbreak in January 2020 when education on hand hygiene and outbreak management was carried out. </w:t>
            </w:r>
          </w:p>
          <w:p w:rsidR="00EB7645" w:rsidRPr="00BE00C7" w:rsidP="00BE00C7">
            <w:pPr>
              <w:pStyle w:val="OutcomeDescription"/>
              <w:spacing w:before="120" w:after="120"/>
              <w:rPr>
                <w:rFonts w:cs="Arial"/>
                <w:b w:val="0"/>
                <w:lang w:eastAsia="en-NZ"/>
              </w:rPr>
            </w:pPr>
            <w:r w:rsidRPr="00BE00C7">
              <w:rPr>
                <w:rFonts w:cs="Arial"/>
                <w:b w:val="0"/>
                <w:lang w:eastAsia="en-NZ"/>
              </w:rPr>
              <w:t>Additional education has occurred in preparedness for a possible Covid-19 outbreak, this included donning and doffing of PPE, hand hygiene and information on the facility’s pandemic plan and outbreak management.</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isolation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are documented.  New infections and any required management plan are discussed at handover, to ensure early intervention occurs. This was verified by observation, interview and review of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reported to the quality, health and safety and IPC meeting. Data is reviewed to identify any trends, possible causative factors and required actions. Results of the surveillance programme are shared with staff via meeting minutes.  Graphs are produced that identify trends for the current year and are displayed for staff.  Data is benchmarked externally through QPS.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respiratory infection outbreak was reviewed and demonstrated a thorough process for reporting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who is a registered nurse, provides support and oversight for enabler and restraint management in the facility.  She demonstrated a sound understanding of the required processes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nine residents were using restraints and four residents were using enablers, which were the least restrictive and used voluntarily at their request. A similar process is followed for the use of enablers as is used for restraints. This provides for a robust process which ensures the on-going safety and wellbeing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the restraint register, review of four files of residents using approved restraints and from interviews with the restraint coordinator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consists of the restraint coordinator (registered nurse), care services manager and the well-being and lifestyle coordinator, and is responsible for the approval of restraint use and the restraint processes, as defined in the restraint policy.  It was evident from review of meeting minutes, review of residents’ files and interview with the coordinator that there are clear lines of accountability, that all restraints have been approved, and the overall use of restraints is being monitored, reported and analysed. Restraints approved for use include bedrails, chair tables, princess chair, lap belts and chair brief.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family/whānau/EPOA involvement was noted for restraint and enabler use, with one record sampled including consent from the resident’s EPOA as they were unable to physically sign the document.  Restraint and enabler use are included in the care planning process (including an initial care plan), following assessment.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was documented in four of four files reviewed and included all requirements of the Standard. The initial assessment was undertaken by a registered nurse with the restraint coordinator’s involvement, and input from the resident’s family/whanau/EPOA. The RN restraint coordinator described the documented process.  The general practitioner has been involved in the final decision on the safety of the use of the restraint, with evidence of this on each file reviewed. The assessment process identified the underlying cause, history of restraint use, cultural considerations, alternatives to use of restraint and the likely risks. The desired outcome was to ensure the residents’ safety and security. Completed assessments were sighted in the records of residents who were using a restraint. Any episode of restraint or an enabler use is reviewed within the first 24-hours of initial implementation.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Time is spent explaining how the resident can be safely supported and suitable alternatives, such as the use of sensor mats, low beds, intentional rounding, one to one staff input as part of a 24 hour diversional plan or a mattress on the floor are explored before use of a restraint is implemented. When restraints are in use, frequent monitoring occurs to ensure the resident remains safe. Monitoring timeframe are specified according to the level of risk identified.  Records contained the necessary details including when in use and when the resident is released from restraint and their need for exercise, food, fluids, and toileting.  Access to advocacy is provided if requested and all processes ensure dignity and privacy are maintained and respected.  This was included in the resident’s care plan and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by the restraint coordinator and three monthly at the scheduled GP visit. All restraints are reviewed at the annual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through the on line learning platform introduced since the previous audit. Staff spoken to understood safe restraint use and efforts to minimise their use, that the use of restraints is to be minimised and how to maintain safe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evidenced the individual use of restraints is reviewed and signed off monthly by the restraint coordinator and evaluated during care plan reviews three monthly and interRAI reviews every six months, regular restraint evaluations and at the annual restraint approval group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includes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monitoring and quality review is undertaken by the restraint approval group and considers all restraint practice.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as well as any feedback from the doctor, staff and families.</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reported to the operations and clinical risk group each month as part of a set agenda. Any changes to policies, guidelines, education, and processes are implemented if indicated. Data reviewed, minutes and interviews with the restraint coordinator and personal care assistants confirmed that the use of restraint is reviewed, however a reduction in the use of restraint cannot presently be demonstrated, with types and numbers of restraint similar to that recorded in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7254"/>
        <w:gridCol w:w="1773"/>
        <w:gridCol w:w="16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Nazareth Community of Care has a governance structure encompassing its Australasian interests, with the NZ GM reporting to the CEO based in Australia. The structures are well defined and includes two current organisational charts (one for Australasia and one for the NZ operation). This reflects reporting requirements, up to and including the Board.  Documentation relevant to the Nazareth Community of Care Australasia has been developed including clinical services specific to the New Zealand setting. However, there are a number of examples where key organisational documents do not reflect the differences in requirements in the two jurisdictions, with the only references being to Australian standards and requirements. Additionally, there is limited clinical governance structures to support the NZ operation.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Finding: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absence of a formalised clinical governance framework to provide the oversight and direction necessary for best practice service delivery and the partnership model in the NZ jurisdiction. </w:t>
            </w:r>
          </w:p>
          <w:p w:rsidR="00EB7645" w:rsidRPr="00BE00C7" w:rsidP="00BE00C7">
            <w:pPr>
              <w:pStyle w:val="OutcomeDescription"/>
              <w:spacing w:before="120" w:after="120"/>
              <w:rPr>
                <w:rFonts w:cs="Arial"/>
                <w:b w:val="0"/>
                <w:lang w:eastAsia="en-NZ"/>
              </w:rPr>
            </w:pPr>
            <w:r w:rsidRPr="00BE00C7">
              <w:rPr>
                <w:rFonts w:cs="Arial"/>
                <w:b w:val="0"/>
                <w:lang w:eastAsia="en-NZ"/>
              </w:rPr>
              <w:t>Documentation has been developed which covers the needs of the organisation as a whole but does not always reflect the NZ requirements and standards in the Aged Care environment.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Develop structures, processes and documentation which ensures Nazareth Community of Care Australasia has appropriate systems to support its services in the two jurisdictions. </w:t>
            </w: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orientation workbook developed for clinical staff to complete in the first 90 days of employment. Files sampled and reviewed (four of four staff employed less than six months) indicated that the workbook was not consistently signed off to indicate clinical competency components have been achieved.  In two examples, the 90-day appraisal had been stated as completed without the workbook being fully completed and signed off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inconsistencies in the sign off of the orientation workbook at the end of the clinical staff orientation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Establish processes which ensure that orientation workbooks content is fully completed prior to sign off of the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670"/>
        <w:gridCol w:w="50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provided as part of the wellbeing and lifestyle programme, are meaningful and imaginative.  They are aimed to improve the lives of the up to 80 residents who call Nazareth House home. The programme is well planned and varied, and includes activities aimed to maintain physical and mental abilities as well as meet social needs and interests. Regular activities include exercise classes, bowls, mini golf, happy hour, craft and knitting groups, baking, housie, movies, visiting pets and entertainers. Individual one to one activities are provided for residents who do not attend groups. Activities are evaluated monthly with residents and the programme updated. Newsletters for residents and families, as well as an activities timetable, keeps residents informed of changes.</w:t>
            </w:r>
          </w:p>
          <w:p w:rsidR="00EB7645" w:rsidRPr="00BE00C7" w:rsidP="00BE00C7">
            <w:pPr>
              <w:pStyle w:val="OutcomeDescription"/>
              <w:spacing w:before="120" w:after="120"/>
              <w:rPr>
                <w:rFonts w:cs="Arial"/>
                <w:b w:val="0"/>
                <w:lang w:eastAsia="en-NZ"/>
              </w:rPr>
            </w:pPr>
            <w:r w:rsidRPr="00BE00C7">
              <w:rPr>
                <w:rFonts w:cs="Arial"/>
                <w:b w:val="0"/>
                <w:lang w:eastAsia="en-NZ"/>
              </w:rPr>
              <w:t>A high number of residents attend Mass daily, a resident leads the Rosary daily and a Holy hour allows for prayer and reflection. It was identified that residents who wished to attend the daily Mass became upset when they were not able to be moved to the Church in a timely manner. A quality improvement project aimed to reduce delays for residents established a transfer assistance role. This has reduced waiting time and has reduced residents’ anxiety. Evaluation showed increased resident satisfaction with the process. Non-Catholics seeking solitude may attend the Church outside of Mass times.</w:t>
            </w:r>
          </w:p>
          <w:p w:rsidR="00EB7645" w:rsidRPr="00BE00C7" w:rsidP="00BE00C7">
            <w:pPr>
              <w:pStyle w:val="OutcomeDescription"/>
              <w:spacing w:before="120" w:after="120"/>
              <w:rPr>
                <w:rFonts w:cs="Arial"/>
                <w:b w:val="0"/>
                <w:lang w:eastAsia="en-NZ"/>
              </w:rPr>
            </w:pPr>
            <w:r w:rsidRPr="00BE00C7">
              <w:rPr>
                <w:rFonts w:cs="Arial"/>
                <w:b w:val="0"/>
                <w:lang w:eastAsia="en-NZ"/>
              </w:rPr>
              <w:t>Special events reviewed and discussed on site include the following:</w:t>
            </w:r>
          </w:p>
          <w:p w:rsidR="00EB7645" w:rsidRPr="00BE00C7" w:rsidP="00BE00C7">
            <w:pPr>
              <w:pStyle w:val="OutcomeDescription"/>
              <w:spacing w:before="120" w:after="120"/>
              <w:rPr>
                <w:rFonts w:cs="Arial"/>
                <w:b w:val="0"/>
                <w:lang w:eastAsia="en-NZ"/>
              </w:rPr>
            </w:pPr>
            <w:r w:rsidRPr="00BE00C7">
              <w:rPr>
                <w:rFonts w:cs="Arial"/>
                <w:b w:val="0"/>
                <w:lang w:eastAsia="en-NZ"/>
              </w:rPr>
              <w:t>1.  A Market Day with a French theme aimed to involve residents with the community and include family and friends. Residents were involved in preparations and those interviewed described making jam, knitting hats and baking to be sold in addition to the outside stall holders. One resident who was part of the knitting group described the process as giving her a purpose and has continued knitting in preparation for the next event.</w:t>
            </w:r>
          </w:p>
          <w:p w:rsidR="00EB7645" w:rsidRPr="00BE00C7" w:rsidP="00BE00C7">
            <w:pPr>
              <w:pStyle w:val="OutcomeDescription"/>
              <w:spacing w:before="120" w:after="120"/>
              <w:rPr>
                <w:rFonts w:cs="Arial"/>
                <w:b w:val="0"/>
                <w:lang w:eastAsia="en-NZ"/>
              </w:rPr>
            </w:pPr>
            <w:r w:rsidRPr="00BE00C7">
              <w:rPr>
                <w:rFonts w:cs="Arial"/>
                <w:b w:val="0"/>
                <w:lang w:eastAsia="en-NZ"/>
              </w:rPr>
              <w:t>2. Come fly with me. A virtual trip to England to see the Queen was held to give residents the experience of travel. The large activities room was transformed into an aircraft and residents issued with boarding passes. Volunteer Air New Zealand staff, a Captain and two air stewardesses, video/audio effects and drinks served from a trolley gave authenticity to the event. On arrival residents were able to have their photograph taken with the Queen and Prince Phillip (two residents dressed up). The event concluded with Air New Zealand lollies for those residents who had been assessed as appropriate to receive them. Residents interviewed continue to speak highly of this event and it was noted how their eyes lit up in memory of the ‘trip’.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Burgers and Beers. Activities are provided for specific groups and an example of this was the men only Burgers and Beers lunch to celebrate Father’s Day 2020. The facility has a predominantly female staff and the male residents interviewed valued having time in a male only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 COVID-19 communications between residents and families. Due to the current pandemic visiting has been restricted. The wellbeing and lifestyle coordinator has enabled residents to connect with families through electronic media such as skype to allow residents to connect with family. This was valued by both residents and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Nazareth House has implemented an activities programme that is meaningful and varied for the residents. The programme allows residents to maintain strengths and skills, maintain connections with the community and experience events they could otherwise not access. As examples this has included, quality improvements to enable residents to attend Mass daily, holding a community engagement Market Day, a virtual trip to England and specific men only events for male residents in addition to an extensive regular programme of events. The depth and breadth of activities seen in the Nazareth House wellbeing and lifestyle programme exceeds that expected for full attainment of this criteria.</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Nazareth Care Charitable Trust - Nazareth House</w:t>
    </w:r>
    <w:bookmarkEnd w:id="58"/>
    <w:r>
      <w:rPr>
        <w:rFonts w:cs="Arial"/>
        <w:sz w:val="16"/>
        <w:szCs w:val="20"/>
      </w:rPr>
      <w:tab/>
      <w:t xml:space="preserve">Date of Audit: </w:t>
    </w:r>
    <w:bookmarkStart w:id="59" w:name="AuditStartDate1"/>
    <w:r>
      <w:rPr>
        <w:rFonts w:cs="Arial"/>
        <w:sz w:val="16"/>
        <w:szCs w:val="20"/>
      </w:rPr>
      <w:t>8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