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 M &amp; D L Beer Holdings Limited - Kenwyn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TM &amp; DL Beer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Kenwyn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March 2020</w:t>
      </w:r>
      <w:bookmarkEnd w:id="7"/>
      <w:r w:rsidRPr="009418D4">
        <w:rPr>
          <w:rFonts w:cs="Arial"/>
        </w:rPr>
        <w:tab/>
        <w:t xml:space="preserve">End date: </w:t>
      </w:r>
      <w:bookmarkStart w:id="8" w:name="AuditEndDate"/>
      <w:r w:rsidR="00A4268A">
        <w:rPr>
          <w:rFonts w:cs="Arial"/>
        </w:rPr>
        <w:t>3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Kenwyn Rest Home and Hospital is privately owned and operated.  The service provides care for up to 59 residents requiring hospital, rest home and dementia level care.  On the day of the audit, there were 56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The service is overseen by a clinical operations manager/registered nurse who has been in this leadership role for eight years.  The clinical operations manager is supported by a general manager.  Residents, family and the GP interviewed spoke positively about the service provided.</w:t>
        <w:br/>
        <w:t>There are two areas of continuous improvement awarded around good practice and staff retention.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presented to residents and their families during entry to the service.  Policies are implemented to support rights such as privacy, dignity, abuse and neglect, culture, values and beliefs, complaints, advocacy and informed consent.  Care planning accommodates individual choices of residents and/or their family/whānau.  Residents are encouraged to maintain links with the community.  Residents and family reported communication with management and staff is open and transparent.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and coordinated and are appropriate to the needs of the residents.  The clinical operations manager/ and the general manager are responsible for the day-to-day operations of the care facility.  The clinical operations manager is supported by a registered nurse (second in charge) and team of care staff.  Quality and risk management processes are implemented.  Quality goals are documented for the service.  A risk management programme is in place, which includes a risk management plan, incident and accident reporting and health and safety processes.  Adverse, unplanned and untoward events are documented and investigated.  Human resources are managed in accordance with good employment practice.  An orientation programme is in place for new staff.  A staff education and training programme is embedded into practice.  Registered nursing cover is provided twenty-four hours a day, seven days a week.  There are adequate numbers of staff on duty to ensure residents are safe.  The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are reviewed at least six monthly.  Resident files include medical notes by the nurse practitioner and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and complete annual medication competencies.  Medication charts are reviewed three monthly by the general practitioner or nurse practitioner. </w:t>
      </w:r>
    </w:p>
    <w:p w:rsidRPr="00A4268A" w:rsidP="00621629">
      <w:pPr>
        <w:spacing w:before="240" w:line="276" w:lineRule="auto"/>
        <w:rPr>
          <w:rFonts w:eastAsia="Calibri"/>
        </w:rPr>
      </w:pPr>
      <w:r w:rsidRPr="00A4268A">
        <w:rPr>
          <w:rFonts w:eastAsia="Calibri"/>
        </w:rPr>
        <w:t>The activities team coordinate and implement the activity programme.  An activity coordinator and care staff coordinate activities in the dementia care unit.  Activities offered meet the individual needs, preferences and abilities of the residents.  Residents are encouraged to maintain community links.  There are regular entertainers, outings and celebrations.  Residents interviewed were satisfied with the activities offered.</w:t>
      </w:r>
    </w:p>
    <w:p w:rsidRPr="00A4268A" w:rsidP="00621629">
      <w:pPr>
        <w:spacing w:before="240" w:line="276" w:lineRule="auto"/>
        <w:rPr>
          <w:rFonts w:eastAsia="Calibri"/>
        </w:rPr>
      </w:pPr>
      <w:r w:rsidRPr="00A4268A">
        <w:rPr>
          <w:rFonts w:eastAsia="Calibri"/>
        </w:rPr>
        <w:t xml:space="preserve">All meals and baking are done on site by cooks with assistance from kitchenhands.  The menu has been reviewed by a dietitian.  Resident preferences and dislikes are accommodated.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Chemicals are stored safely throughout the facility.  There is one double room, with the remainder all single rooms.  Some rooms have ensuites and there are communal toilets and bathrooms.  External areas are safe and well maintained with shade and seating available.  Fixtures, fittings and flooring are appropriate, and toilet/shower facilities are constructed for ease of cleaning.  There are spacious lounges and dining areas in each unit.  The dementia unit allows for safe wandering and areas for group or individual activities.  Resident rooms are spacious and allow for safe movement of staff and mobility equipment.  Cleaning and laundry services are monitored through the internal auditing system.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The restraint coordinator is a registered nurse who is responsible for ensuring restraint management processes are followed.  On the day of audit there were four residents using restraint and one resident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clinical operations manager undertakes infection control activities.  There are infection control policies and procedures to guide practice.  There is an infection control programme that is reviewed annually, and staff receive ongoing training.  Infection control practices are monitored through the internal audit programme.  The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38"/>
        <w:gridCol w:w="1280"/>
        <w:gridCol w:w="93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Consumers’ Rights (the Code) brochures are provided to residents and their families.  Policy relating to the Code is implemented.  Two managers (one general manager and one clinical operations manager/registered nurse) and fourteen staff (six caregivers, two registered nurses (RNs), one maintenance, two activities staff, one cook, one kitchen assistant and one laundry staff) interviewed confirmed their understanding of the Code and were able to give examples of how the Code is applicable to their job role and responsibilities.  Staff receive training about the Code during their induction to the service.  This training continues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are signed as part of the admission.  Specific consents reviewed had been signed by resident/relatives for procedures such as photographs.  Discussions with staff confirmed that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is signed by the competent resident or where the resident is deemed incompetent the GP makes a medically indicated resuscitation decision in discussion with the EPOA.  Advance care plans and enduring power of attorney (EPOA) where available are held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family members identified that the service actively involves them in decisions that affect their relative’s life.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HDC advocacy brochures are included in the information provided to new residents and their family during their entry to the service.  A resident advocate is appointed to the service with contact details posted in a visible location.  Staff receive regular education and training on the role of advocacy services, which begins during their induction to the service.  Regular education is provided to staff by the local HDC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were aware of the role of advocacy services and their right to access support.  The complaints process is linked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the residents to maintain their relationships with friends and community groups.  Assistance is provided by the care staff to ensure that the residents participate in as much as they can safely and desire to do, evidenced through interviews and observations.  Interviews with the rest home level residents confirmed that they are encouraged to remain active in their community and participate in social activities external to the aged care facility.  Examples include RSA, van outings and church services.  Members from the Lions Club and the Rotary Club come to visit residents.  A family day is organised once per year.  Each year, the community is invited to the facility to listen to speakers discussing Alzheimer’s and dementia to inform.  Local entertainers regularly visit the facility.  A fortnightly programme involves the local kindergarten where children visit and do activities with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families during entry to the service.  Access to complaints forms are located at reception.  A register of all complaints received is maintained.  Two complaints were received in 2019 and one in 2020 (year to date) that has been lodged with HDC.  This complaint, around a resident’s care, was received 13 January 2020 and acknowledged with HDC on 14 January 2020.  It has been investigated with documentation sent back to HDC on 21 February 2020.  The facility is awaiting a response from HDC.  </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concerns expressed by the DHB prior to this audit.</w:t>
            </w:r>
          </w:p>
          <w:p w:rsidR="00EB7645" w:rsidRPr="00BE00C7" w:rsidP="00BE00C7">
            <w:pPr>
              <w:pStyle w:val="OutcomeDescription"/>
              <w:spacing w:before="120" w:after="120"/>
              <w:rPr>
                <w:rFonts w:cs="Arial"/>
                <w:b w:val="0"/>
                <w:lang w:eastAsia="en-NZ"/>
              </w:rPr>
            </w:pPr>
            <w:r w:rsidRPr="00BE00C7">
              <w:rPr>
                <w:rFonts w:cs="Arial"/>
                <w:b w:val="0"/>
                <w:lang w:eastAsia="en-NZ"/>
              </w:rPr>
              <w:t>Documentation including follow-up letters and resolution demonstrate that complaints are well-managed.  Discussions with residents and families/whānau confirmed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The clinical operations manager, general manager (GM) and/or RN staff discuss aspects of the Code with residents and their family on admission.  Discussions relating to the Code are also held during the three-monthly resident/family meetings.  All four residents (two rest home, two hospital) and five family (three dementia, two rest home)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Privacy signage is on communal toilet doors.  </w:t>
            </w:r>
          </w:p>
          <w:p w:rsidR="00EB7645" w:rsidRPr="00BE00C7" w:rsidP="00BE00C7">
            <w:pPr>
              <w:pStyle w:val="OutcomeDescription"/>
              <w:spacing w:before="120" w:after="120"/>
              <w:rPr>
                <w:rFonts w:cs="Arial"/>
                <w:b w:val="0"/>
                <w:lang w:eastAsia="en-NZ"/>
              </w:rPr>
            </w:pPr>
            <w:r w:rsidRPr="00BE00C7">
              <w:rPr>
                <w:rFonts w:cs="Arial"/>
                <w:b w:val="0"/>
                <w:lang w:eastAsia="en-NZ"/>
              </w:rPr>
              <w:t>The care staff interviewed reported that they knock on bedroom doors prior to entering rooms, ensure doors are shut when cares are being given and do not hold personal discussions in public areas.  They reported that they promote the residents' independence by encouraging them to be as active as possible.  All of the residents and families interviewed confirmed that the residents’ privacy is respected.  There is one double room that is shared between two (hospital level) residents with evidence of consent gained from families and residents.  Privacy curtains are in place.</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attend mandatory education and training on abuse and neglect, which begins during their induction to the service.  Links are in place with Age Concern for referral if abuse and/or neglect is suspected.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residents.  Links are established with Tui Pa marae.  Resident rooms are blessed following a death.  Cultural values and beliefs that are identified are documented in the resident’s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includes questions regarding Māori values and beliefs and links to the Treaty of Waitangi.  Staff education on cultural awareness begins during their induction to the service and continues as a regular in-service (January 2020).  The caregivers interviewed provided examples of how they ensure Māori values and beliefs are upheld by the service.  There were two residents living at the facility that identified as Māori and Cook Island Māori during the audit.  One family member/whānau was interviewed and reported that staff are very respectful of residents including respect for their culture.  Staff reported that they speak in te reo Māori with the residents who speak te reo and that the residents really enjoy this means of communication.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The staff demonstrated through interviews and observations that they are committed to ensuring each resident remains a person, even in a state of decline.  Beliefs and values are discussed and incorporated into the residents’ care plans, evidenced in all eight care plans reviewed.  Information is collected through the resident and their family/whānau to identify specific cultural values and identify ways to apply these principles.   Residents and family interviewed confirmed they were involved in developing the resident’s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also described in job descriptions.  Interviews with the care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Good practice was evident.  A registered nurse is on site 24 hours a day, 7 days a week.  A nurse practitioner (NP) or GP visit the facility once a week.  Residents are reviewed by the NP every three months at a minimum.  GP visits are for more complex situations.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(DHB) which includes (but is not limited to) specialist visits.  Support is also provided through Hospice New Zealand.  Physiotherapy services are available on an as needed basis through a local provider and/or the DHB community physiotherapist.</w:t>
            </w:r>
          </w:p>
          <w:p w:rsidR="00EB7645" w:rsidRPr="00BE00C7" w:rsidP="00BE00C7">
            <w:pPr>
              <w:pStyle w:val="OutcomeDescription"/>
              <w:spacing w:before="120" w:after="120"/>
              <w:rPr>
                <w:rFonts w:cs="Arial"/>
                <w:b w:val="0"/>
                <w:lang w:eastAsia="en-NZ"/>
              </w:rPr>
            </w:pPr>
            <w:r w:rsidRPr="00BE00C7">
              <w:rPr>
                <w:rFonts w:cs="Arial"/>
                <w:b w:val="0"/>
                <w:lang w:eastAsia="en-NZ"/>
              </w:rPr>
              <w:t>The clinical operations manager has completed a post graduate diploma in health science advanced nursing, specialising in common and chronic health conditions (June 2016).  She was approved to prescribe in primary health and speciality teams in July 2019.  Outcomes achieved as a result of this have resulted in a rating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A van is on site for regular outings.  Residents and family/whānau interviewed reported that they are either satisfied or very satisfied with the services received.  A resident/family satisfaction survey is completed annually and confirmed high levels of satisfaction with the services received (sample 16 residents/families).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policy also describes that open disclosure is part of everyday practice.  The care staff interviewed understood about open disclosure and providing appropriate information and resource material when required.</w:t>
            </w:r>
          </w:p>
          <w:p w:rsidR="00EB7645" w:rsidRPr="00BE00C7" w:rsidP="00BE00C7">
            <w:pPr>
              <w:pStyle w:val="OutcomeDescription"/>
              <w:spacing w:before="120" w:after="120"/>
              <w:rPr>
                <w:rFonts w:cs="Arial"/>
                <w:b w:val="0"/>
                <w:lang w:eastAsia="en-NZ"/>
              </w:rPr>
            </w:pPr>
            <w:r w:rsidRPr="00BE00C7">
              <w:rPr>
                <w:rFonts w:cs="Arial"/>
                <w:b w:val="0"/>
                <w:lang w:eastAsia="en-NZ"/>
              </w:rPr>
              <w:t>Families interviewed confirmed they are kept informed of the resident’s status, including any events adversely affecting the resident.  A family communication sheet is held in the front of the residents’ files.  Fifteen accident/incident forms reviewed reflected documented evidence of families being informed following an adverse event.  A quality initiative has included providing families with an overall picture of the resident’s health and well-being status every three months (vs. discussing medications/medical conditions only following the three-monthly NP review).  This information is then linked to the resident’s care plan.  During the audit one resident was observed speaking to her son in Australia via the internet (Skype) with assistance provided from staff.</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citizens’ advice bureau.  Families and staff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Kenwyn Rest Home provides care for up to 59 residents at rest home, hospital (geriatric and medical) and dementia levels of care.  The rest home and hospital have 40 beds (8 dual-purpose, 12 hospital and the remaining 20 rest home level).  The dementia unit provides care for up to 19 residents.  On the day of the audit, there were 17 residents in the dementia unit, 14 hospital residents and 25 rest home residents.  Two residents (one dementia, one rest home) were on respite (carer support), one (rest home) resident was on a long-term services – chronic health conditions (LTS-CHC) contract and one resident (rest home) was on a Waikato DHB ‘rest and recuperation’ contract.  All remaining residents were on the age-related 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Kenwyn Rest Home, purchased in 2009, is a family run business.  They also own Cardrona Rest Home in Putaruru.  An annual business plan has been developed that includes an aim, strategy and measurable goals.  Business goals are regularly reviewed with the clinical operations manager, and general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experienced clinical operations manager is a registered nurse (RN) with many years of nursing experience in aged care and has been in a leadership role at this facility for the past eight years.  In June, she completed a qualification as a registered nurse prescriber.  She receives support from a general manager who holds a business background.  Together they share one full time position and split their hours between the two aged care facilities owned by the owners.  They are supported by a team of care staff that includes six RNs, thirty-four caregivers, one enrolled nurse (EN), and three activities staff. </w:t>
            </w:r>
          </w:p>
          <w:p w:rsidR="00EB7645" w:rsidRPr="00BE00C7" w:rsidP="00BE00C7">
            <w:pPr>
              <w:pStyle w:val="OutcomeDescription"/>
              <w:spacing w:before="120" w:after="120"/>
              <w:rPr>
                <w:rFonts w:cs="Arial"/>
                <w:b w:val="0"/>
                <w:lang w:eastAsia="en-NZ"/>
              </w:rPr>
            </w:pPr>
            <w:r w:rsidRPr="00BE00C7">
              <w:rPr>
                <w:rFonts w:cs="Arial"/>
                <w:b w:val="0"/>
                <w:lang w:eastAsia="en-NZ"/>
              </w:rPr>
              <w:t>Both managers have completed at least eight hours of training related to management of an aged care facility, relevant to their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absence of the clinical operations manager/RN, the second in charge (2IC) RN assumes clinical responsibilities.  Administrative responsibilities are delegated to the general manager.  The clinical operations manager is responsible for administrative responsibilities in the absence of the general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general manager, clinical operations manager/RN, and staff confirmed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evidenced in meeting minutes.  Staff are requested to sign that they have read the new/revised policies (sighted).</w:t>
            </w:r>
          </w:p>
          <w:p w:rsidR="00EB7645" w:rsidRPr="00BE00C7" w:rsidP="00BE00C7">
            <w:pPr>
              <w:pStyle w:val="OutcomeDescription"/>
              <w:spacing w:before="120" w:after="120"/>
              <w:rPr>
                <w:rFonts w:cs="Arial"/>
                <w:b w:val="0"/>
                <w:lang w:eastAsia="en-NZ"/>
              </w:rPr>
            </w:pPr>
            <w:r w:rsidRPr="00BE00C7">
              <w:rPr>
                <w:rFonts w:cs="Arial"/>
                <w:b w:val="0"/>
                <w:lang w:eastAsia="en-NZ"/>
              </w:rPr>
              <w:t>Quality data collected is collated and analysed using the run chart methodology.  Quality data is regularly communicated to staff via monthly staff meetings and through the use of graphs that are posted each month in the staff room.  The run charts used to display trends (eg, falls) provides staff with meaningful information.</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being implemented.  Areas of non-compliance include the initiation of a corrective action plan with corrective actions signed off to evidence their implementation.  There was evidence in the monthly staff meetings to verify staff are informed of audit results and corrective actions.  A quality improvement register is maintained that keeps a running tally of quality initiatives through the use of a quality improvement register (QIR).  Examples provided during the audit included the purchase of new pressure mattresses, initiatives to enhance communication with families, and initiatives implemented to reduce staff turnover (link CI 1.2.7.3).</w:t>
            </w:r>
          </w:p>
          <w:p w:rsidR="00EB7645" w:rsidRPr="00BE00C7" w:rsidP="00BE00C7">
            <w:pPr>
              <w:pStyle w:val="OutcomeDescription"/>
              <w:spacing w:before="120" w:after="120"/>
              <w:rPr>
                <w:rFonts w:cs="Arial"/>
                <w:b w:val="0"/>
                <w:lang w:eastAsia="en-NZ"/>
              </w:rPr>
            </w:pPr>
            <w:r w:rsidRPr="00BE00C7">
              <w:rPr>
                <w:rFonts w:cs="Arial"/>
                <w:b w:val="0"/>
                <w:lang w:eastAsia="en-NZ"/>
              </w:rPr>
              <w:t>Staff are informed of results, evidenced in the monthly staff meeting minutes.  Staff sign and read the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An interview with the health and safety officer (clinical operations manager) and review of health and safety documentation confirmed that robust health and safety processes are being implemented.  External contractors have been orientated to the facility’s health and safety programme.  The hazard register is regularly reviewed (last review 7 January 2020).  Health and safety checks take place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accidents and incidents reporting policy is in place.  Fifteen accident/incident forms were reviewed (two staff work injuries, eight falls with neurological observations completed for six of the falls (unwitnessed with a possible injury to the head), four skin tears and one pressure injury).  There was evidence to support actions are undertaken to minimise the number of incidents.  Clinical evaluation of residents following an adverse event is conducted by a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events are linked to the quality and risk management programme.  Staff are kept informed in a timely manner regarding accidents and incidents and the implementation of strategies to reduce the number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 clinical operations manager is aware of the requirement to notify relevant authorities in relation to essential notifications with examples provided (two stage 3 pressure injuries, assault of a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which includes the recruitment and staff selection process.  Relevant checks are completed to validate the individual’s qualifications, experience and veracity, evidenced in eight staff files randomly selected for review (two RNs, six caregivers).</w:t>
            </w:r>
          </w:p>
          <w:p w:rsidR="00EB7645" w:rsidRPr="00BE00C7" w:rsidP="00BE00C7">
            <w:pPr>
              <w:pStyle w:val="OutcomeDescription"/>
              <w:spacing w:before="120" w:after="120"/>
              <w:rPr>
                <w:rFonts w:cs="Arial"/>
                <w:b w:val="0"/>
                <w:lang w:eastAsia="en-NZ"/>
              </w:rPr>
            </w:pPr>
            <w:r w:rsidRPr="00BE00C7">
              <w:rPr>
                <w:rFonts w:cs="Arial"/>
                <w:b w:val="0"/>
                <w:lang w:eastAsia="en-NZ"/>
              </w:rPr>
              <w:t>Copies of practising certificates are kept on file.  The service has implemented an orientation programme that provides new staff with relevant information for safe work practice.  Evidence of completed induction checklists were sighted in all eight staff files.  Staff have also signed that they have read the staff induction handbook.  Staff appraisals are completed annually.  Appraisals include input from one (pre-selected) staff member.  Staff turnover has reduced significantly following the implementation of several quality initiatives which begins during the applicant’s interview and continues through their extended period of orientation.  This has resulted in a rating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An in-service education programme is being implemented.  Regular in-services are provided by a range of in-house and external speakers including (but not limited to): nurse specialists, Aged Concern and the Health and Disability Advocacy Service.  Three of six RNs have completed interRAI training.  There is a minimum of a first aid qualified staff on duty 24 hours a day, seven days a week and while out on outings with residents.</w:t>
            </w:r>
          </w:p>
          <w:p w:rsidR="00EB7645" w:rsidRPr="00BE00C7" w:rsidP="00BE00C7">
            <w:pPr>
              <w:pStyle w:val="OutcomeDescription"/>
              <w:spacing w:before="120" w:after="120"/>
              <w:rPr>
                <w:rFonts w:cs="Arial"/>
                <w:b w:val="0"/>
                <w:lang w:eastAsia="en-NZ"/>
              </w:rPr>
            </w:pPr>
            <w:r w:rsidRPr="00BE00C7">
              <w:rPr>
                <w:rFonts w:cs="Arial"/>
                <w:b w:val="0"/>
                <w:lang w:eastAsia="en-NZ"/>
              </w:rPr>
              <w:t>Sixteen of nineteen caregivers who work in the dementia unit have completed a New Zealand Qualification Authority (NZQA) approved dementia qualification.  The remaining three caregivers have either been employed less than 18 months or have been working in the dementia unit for less than 18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includes staff rationale and skill mix.  Sufficient staff are rostered to manage the care requirements of the residents.  A clinical operations manager/RN is on-site 3.5 days a week.  In addition to her role as a clinical operations manager she also covers as a nurse prescriber approximately four-five hours a week depending on the care needs of the residents.  The general manager is on site 1.5 days a week, covering in the absence of the clinical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The rest home/hospital (25 rest home, 14 hospital residents) is staffed with 1 RN each shift.  A second RN is on site eight to sixteen hours a week to complete interRAI assessments.  Three long shifts (7-8 hours) and five short shift caregivers cover the AM shift, three long and one short shift caregivers cover the PM shift and two long shift caregivers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(17 residents) is overseen by the RN covering the rest home/hospital.  Two long shift and two short shift caregivers cover the AM shift, three long shift caregivers cover the PM shift and one long shift caregiver covers the night shift.  An EN covers in place of a caregiver on the AM and PM shifts (part-time).</w:t>
            </w:r>
          </w:p>
          <w:p w:rsidR="00EB7645" w:rsidRPr="00BE00C7" w:rsidP="00BE00C7">
            <w:pPr>
              <w:pStyle w:val="OutcomeDescription"/>
              <w:spacing w:before="120" w:after="120"/>
              <w:rPr>
                <w:rFonts w:cs="Arial"/>
                <w:b w:val="0"/>
                <w:lang w:eastAsia="en-NZ"/>
              </w:rPr>
            </w:pPr>
            <w:r w:rsidRPr="00BE00C7">
              <w:rPr>
                <w:rFonts w:cs="Arial"/>
                <w:b w:val="0"/>
                <w:lang w:eastAsia="en-NZ"/>
              </w:rPr>
              <w:t>Extra staff can be called on for increased resident requirements.  Activities staff are rostered seven days a week in the dementia unit and five days a week in the rest home/hospital.  There are separate domestic staff who are responsible for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Residents’ files are protected from unauthorised access by being held in secure rooms.  Archived records are secure in a separate locked storage facility located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Entries are legible, dated, timed and signed by the RN/carer and include their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for short-term stays, rest home, and hospital and dementia level of care services.  The information pack includes specific information on dementia care and the secure environment.  The admission agreements reviewed met the requirements of the ARRC contract.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Communication with family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enrolled nurses and medication competent caregivers) have been assessed for competency on an annual basis.  The RN checks incoming medication blister packs against the electronic medication chart and signs a paper-based verification form and the back of the blister pack when the packs have been checked.  Medication is stored safely within the rest home/hospital and dementia units.  Expiry dates for ‘as required’ medications and bulk supply order (for hospital level residents only) are checked regularly by the RN.  All medications were within the expiry dates.  Eye drops had been dated on opening.  Medication fridge temperatures and room temperatures are monitored and recorded daily.  There were no residents self-medicating.  There are systems in place in the event a resident is self-medicating, including safe storage and self-medication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16 medication charts reviewed met legislative prescribing requirements.  The NP or GP had reviewed the medication charts three-monthly.  All medications had been administered as prescribed.  There were photographs, and allergy status identified on the medication charts.  The effectiveness of ‘as required’ medication was recorded on the electronic medication chart and in the resident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cook manages and oversees the food service at the facility.  The cook is supported by two other cooks and kitchenhands.  The food control plan has been verified and expires 6 April 2020.  The four-week menu has been reviewed by a dietitian.  The main meal is at midday.  The cook receives dietary profiles for each resident and is notified of any dietary changes.  Dislikes are known, and alternative foods provided.  Pureed meals are provided.  Nutritional snacks are available 24 hours in the dementia unit and rest home, hospital.  The cook serves meals to the rest home and hospital residents from bain maries in the dining room.  Meals are delivered to the dementia care unit and to residents’ bedrooms as required on trays.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daily checklist is completed, which includes fridges, freezer and chiller temperatures, end-cooked food (at mealtimes), cooling temperatures, chilled/frozen goods on delivery and dishwasher rinse and wash temperatures.  All perishable goods were dated, as were the dry goods in the pantry.  A cleaning roster is maintained for cooks and kitchenhands.  All kitchen staff have completed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applicable risk assessment tools such as falls, pressure injury, continence, pain, nutritional assessments and behaviour assessments.  An interRAI assessment is undertaken within 21 days of admission, six-monthly, or earlier due to significant changes in health for long-term residents.  InterRAI assessments have been completed for the resident on the long-term chronic health condition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needs and supports identified through the assessment process, allied health notes, discharge summaries and information gathered from the resident/relative, form the basis of the initial support plan and long-term care plan.  InterRAI assessments, assessment notes and summary were in place for all resident files sampled.  Outcomes of behaviour assessments completed for the dementia care residents were reflected in the 24-hour behaviour management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Support needs for identified risk or changes to care were documented in the care plans for resident care plans reviewed.  Short-term care plans had been utilised for short-term needs such as weight monitoring, wounds, pressure injury, and infections.  Short-term care plans are reviewed and if an ongoing problem, added to the long-term care plan.  Behaviour management (action) plans were in place for the dementia care files reviewed with de-escalation strategies including a 24-hour activity plan that identifies the resident’s pattern of behaviour over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resident (as appropriate) and family/whānau involvement in the care plan process.  Relatives interviewed confirmed they were notified of an upcoming multidisciplinary (MDT) review and were involved in the care planning process.  Resident files demonstrated service integration.  There was evidence of allied health care professionals involved in the care of the resident including the GP, NP, geriatrician, wound nurse specialist and mental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on the resident family/whānau communication record held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evaluations were in place for the 15 residents with wounds across the facility (skin tears, lesions, pressure injuries and chronic wounds).  One resident had three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with pressure injuries.  This included one resident with a grade one pressure injury acquired prior to admission; one resident with a grade one facility acquired pressure injury; one resident with a grade two facility acquired pressure injury; and one resident with a facility acquired grade three pressure injury.  An incident form had been completed and a section 31 form had been completed.  The clinical operations manager provides expertise in wound management and the service accesses the expertise of the NP and wound nurse specialist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vital signs, pain, repositioning, food and fluid intake, neurological observations, and challenging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team of activities coordinators who oversee the activity team.  Two activities coordinators provide activities in the rest home and hospital service five days a week; and two activities coordinators provide activities seven days a week in the dementia service.  There is a van driver who assists with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assist residents to attend activities of their choice within their unit or to a combined activity.  Caregivers who work in the dementia unit incorporate activities into their role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programme is planned to reflect the cognitive and physical abilities of the groups of residents.  Activities offered include (but are not limited to): exercises (sit and be fit); newspaper reading; board games; quizzes; bowls; reminiscing; music; hangman and bingo.  One-on-one time is spent with residents who are unable to participate or choose not to join in group activities.  Other community visitors include church services, entertainers, kindergarten visits and pet therapy.  There are outings or scenic drives to places of interest and the countryside.  One-on-one time is spent with residents in the hospital, rest home section.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care unit are flexible and meaningful for the individual resident and include reminiscing, sing-a-longs, walks and domestic activities.  The activities coordinator spends one on one time with residents such as reading, chats and walks.  Each resident has a 24-hour activity plan that is personalised with the resident’s daily activities, potential behaviours and de-escalation strategies including activities.  The activities coordinator is involved in the six-monthly evaluation of the 24-hour activity plan, behavioural management plan and care plans with the MDT.  </w:t>
            </w:r>
          </w:p>
          <w:p w:rsidR="00EB7645" w:rsidRPr="00BE00C7" w:rsidP="00BE00C7">
            <w:pPr>
              <w:pStyle w:val="OutcomeDescription"/>
              <w:spacing w:before="120" w:after="120"/>
              <w:rPr>
                <w:rFonts w:cs="Arial"/>
                <w:b w:val="0"/>
                <w:lang w:eastAsia="en-NZ"/>
              </w:rPr>
            </w:pPr>
            <w:r w:rsidRPr="00BE00C7">
              <w:rPr>
                <w:rFonts w:cs="Arial"/>
                <w:b w:val="0"/>
                <w:lang w:eastAsia="en-NZ"/>
              </w:rPr>
              <w:t>A resident profile is completed within three weeks of admission and an activity plan completed on admission, in consultation with the resident/family (as appropriate).  Activity plans in all files were evaluated six-monthly.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opportunity for residents and families to provide feedback and suggestions for the programme through resident meetings, surveys and one-on-one feedback.  Residents and relatives interviewed on the day of audit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reviewed in long-term resident files had been evaluated by the RN within three weeks of admission.  There is a three-monthly review of care, this was sighted in resident’s files and includes a comprehensive review of cares with family input.  Long-term care plans had been evaluated six-monthly against the resident goals, indicating if the goals had been met or unmet.  Input in the MDT review meeting includes input from the family/resident (as appropriate), RN, activities coordinator, NP, GP and any allied health professionals involved in the care of the resident.  Short-term care plans sighted for short-term problems had been evaluated regularly and included sufficient detail to guide staff in delivery of care.  The NP or GP reviews the residents at least three-monthly or earlier if required.  Ongoing nursing evaluations occur as indicated and are documented within the progress notes and there were changes made 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that residents had been referred to the physiotherapist, dietitian, and geriatrician, mental health services for older people, urology and palliative care consultant.  Discussion with the registered nurses identified that the service has access to a wide range of support either through the GP, specialists and allied health services as required.  There was evidence of referral to the need’s assessment team for re-assessment of level of care from rest home to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Chemicals are dispensed through a pre-mixing system.  Sharps containers are available and meet the hazardous substances regulations for containers.  The hazard register identifies hazardous substances and staff indicated a clear understanding of processes and protocols.  Gloves, aprons, and goggles are available for staff.  Staff were observed wearing appropriate personal protective clothing when carrying out their duties.  A chemical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11 April 2020.  There is a maintenance manager employed 20 hours per week who actions daily requests for maintenance and repairs and completes a maintenance programme as required with pest control and water temperature monitoring is being completed quarterly.  There is a maintenance request record kept at the main entrance.  Repairs are signed off as completed.  Essential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hoists, scales and clinical equipment is checked/calibrated annually.  Hot water temperatures have been monitored monthly and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or transferring residents to communal areas in hospital lounge chairs.  Residents were observed moving freely around the areas with mobility aids where required.  The external areas and gardens are well maintained with seating and shade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garden and grounds are safely fenced.  There are two doors to the dementia garden area that allow for free access to the garden area with walking pathways, seating and shade.  There is safe access to all communal areas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rooms include rooms with ensuites and rooms where the residents use communal toilets and showers.  There are privacy signs on all toilet/bathroom doors.  Fixtures, fittings and flooring are appropriate for ease of cleaning.  There is ample space in toilet and shower areas to accommodate shower chairs and hoists if appropriate.  Rest home and hospital residents interviewed confirmed staff respected their privacy when carrying out hygiene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residents’ rooms to allow care to be provided and for the safe use of mobility equipment.  Staff interviewed reported that they have adequate space to provide care to residents.  Residents are encouraged to personalise their bedrooms as viewed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home/hospital unit has a large dining room, a large lounge, a library and a central courtyard.  The dementia unit has a spacious open plan dining and lounge area, a quiet room and safe access to the secure garden and grounds.  There is a hairdressing salon for the visiting hairdresser to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systems for monitoring the effectiveness and compliance with the service’s policies and procedures.  All laundry is done on site in a laundry located in the facility.  The laundry operates seven days a week.  The laundry workers have completed chemical safety training.  There is a defined clean/dirty flow with an entry and exit door.  There is a separate drying room and adequate bench space for folding of linen.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full-time cleaners on duty Monday to Friday to complete cleaning duties for the facility.  There is one cleaner on duty on Saturdays to complete a basic clean for the facility.  Cleaning staff have completed chemical safety training.  Cleaning trolleys sighted were well equipped and all chemicals labelled correctly.  Personal protective equipment is available.  The cleaners’ trolleys when not in use, were stored in locked areas at each end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 provider monitors the cleaning and laundry service and chemical use and effectiveness.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The orientation programme and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available in the event of a civil defence emergency including food, water and blankets.  A gas barbeque is available.  Civil defence, first aid and pandemic supplies are checked monthly</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Residents were observed in their rooms with their call bell alarms in close proximity.  The double room has a call bell accessible for each resident.</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 hours a day, 7 days a week with a current first aid/CPR certificate.  Activities staff who accompany residents on outings also hold a current first aid/CPR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bedrooms have external windows with plenty of natural sunlight.  The facility has air-conditioning and electrical heating in place.  There are windows and doors that open for ventilation.  The facility was maintained at a comfortable temperature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and its content and detail, is appropriate for the size, complexity, and degree of risk associated with the service.  The infection programme was last reviewed in January 2020.  </w:t>
            </w:r>
          </w:p>
          <w:p w:rsidR="00EB7645" w:rsidRPr="00BE00C7" w:rsidP="00BE00C7">
            <w:pPr>
              <w:pStyle w:val="OutcomeDescription"/>
              <w:spacing w:before="120" w:after="120"/>
              <w:rPr>
                <w:rFonts w:cs="Arial"/>
                <w:b w:val="0"/>
                <w:lang w:eastAsia="en-NZ"/>
              </w:rPr>
            </w:pPr>
            <w:r w:rsidRPr="00BE00C7">
              <w:rPr>
                <w:rFonts w:cs="Arial"/>
                <w:b w:val="0"/>
                <w:lang w:eastAsia="en-NZ"/>
              </w:rPr>
              <w:t>The IC policy and procedures are available.  There is a job description for the IC coordinator (clinical operations manager) which includes clearly defined guidelines and responsibilities.  The IC issues and surveillance data are used in the quality improvement management meetings.  The facility has adequate signage at the entrance asking visitors not to enter if they have contracted or been in contact with infectious diseases.  Hand hygiene notices are in use around the facility.  Residents and staff are offered the influenza vaccine.  A pandemic plan is in place and PPE was available that was set aside for use in a pandemic.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designated IC coordinator who has completed external IC training.  There are adequate resources to implement the infection control programme for the size and complexity of the organisation.  The IC coordinator has good external support from the public health authorities and the local DHB.  The IC team includes all staff and is representative of the facility.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policies and procedures defines roles, responsibilities, oversight, the IC team, training and education of staff.  IC policies are supported by the clinical operations manager and the service maintains the most up to date documents.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Kenwyn Rest Home is committed to the ongoing IC education for staff and residents.  Formal IC education for staff has occurred and is part of the annual education programme.  Information is provided to residents and visitors that is appropriate to their needs and this is documented in medical records.  IC education is provided by the IC coordinator who maintains the most up to date knowledge.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surveillance programme is implemented.  The programme is appropriate to the size and complexity of the facility.  Monthly infection data is collected for all infections, based on signs and symptoms of infection.  Individual resident infection forms are completed, and short-term care plans are used.  Outcomes and actions of IC episodes are discussed during the quality improvement component of the staff meeting.  If there is an emergent issue, it is acted upon in a timely manner.  The NP interview confirmed prompt notification of individual infections cases.  The short-term care plan is also used in monitoring and review of IC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no outbreak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Four hospital level residents were using restraints (four bedrails, one lap belt) with one resident using two restraints and one hospital level resident was using a bedrail as an enabler.  An enabler assessment was completed and written consent was provided by the resident for the use of this enabler.  </w:t>
            </w:r>
          </w:p>
          <w:p w:rsidR="00EB7645" w:rsidRPr="00BE00C7" w:rsidP="00BE00C7">
            <w:pPr>
              <w:pStyle w:val="OutcomeDescription"/>
              <w:spacing w:before="120" w:after="120"/>
              <w:rPr>
                <w:rFonts w:cs="Arial"/>
                <w:b w:val="0"/>
                <w:lang w:eastAsia="en-NZ"/>
              </w:rPr>
            </w:pPr>
            <w:r w:rsidRPr="00BE00C7">
              <w:rPr>
                <w:rFonts w:cs="Arial"/>
                <w:b w:val="0"/>
                <w:lang w:eastAsia="en-NZ"/>
              </w:rPr>
              <w:t>Staff receive regular training around restraint minimisation that begins during their induction to the service.  A restraint competency questionnaire is completed by staff each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an RN (2IC).  Restraint minimisation policies and procedures describe approved restraints.  Restraint use is discussed in the monthly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responsible for assessing a resident’s need for restraint.  Restraint assessments are based on information in the resident’s care plan, discussions with the resident and family and observations by staff.  Assessment tools are in place for restraint use.  Two residents’ files where restraint was being used were selected for review.  Each resident using restraint had a restraint assessment completed.  Family had signed informed consent for restraint use.  The restraint assessment and residents’ care plans addressed the risks associated with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being implemented.  The register identifies the residents that are using a restraint or an enabler.  Four hospital level residents were listed on the restraint register as using a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restraint assessments reviewed identified that restraint is being used only as a last resort.  The restraint assessment process includes determining the frequency of monitoring while restraint is in use.  Restraint policy indicates that all residents are monitored two-hourly at a minimum.  Restraint use is linked to the residents’ care plans and includes the potential risks associated with the restraint.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for the two residents’ files reviewed were completed two hourly and included when the restraint was put on and when it was taken off.  There have been no incidents reported around the use of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evaluations take place six-monthly in conjunction with the care plan reviews.  Restraint use is also discussed in the monthly staff meetings.  This was confirmed in the staff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regularly reviewed by the clinical operations manager and restraint coordinator.  The reviews include identifying trends in restraint use, reviewing restraint minimisation policies and procedures and reviewing the staff education and competency assessments.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2650"/>
        <w:gridCol w:w="86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operations manager was approved to prescribe in primary health and specialty teams in July 2019, which has improved on the overall timeliness and efficiency when dealing with unwell residents. To meet the legal and supervision requirements of the position, communication channels were developed with the local GP practice. This included access to their patient management system and the development of triage arrangements.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prescribing policy and associated guidelines have been developed and implemented.  To meet legal and supervision requirements for this new role, communication channels were developed including triage arrangements.  Since this time, the clinical operations manager has provided assessment and prescribing for palliative residents as well as managing residents with diabetes, chronic obstructive pulmonary disease (COPD), pneumonia and other common infections.  GP consultations have reduced from 146 (January 2019 – July 2019) to 63 (August 2019 – February 2020).  Hospital admissions from infections have also reduced with two admissions from pneumonia February – June 2019 and no hospital admissions for infections since June 2019.  This is believed to be the direct result of closer monitoring and management.  One letter reviewed from a GP at Health Te Aroha who visits residents at Kenwyn Rest Home stated, ‘Having a prescriber on site leads to quicker assessment and treatment of patients, and therefore better outcomes for patients’ and went on to commend the clinical operations manager for her teamwork and increased skills.  The nurse practitioner from the GP practice who visits residents three monthly stated that the level of nursing provided by having a nurse prescriber at Kenwyn ‘ensures that the older people of Kenwyn get preferential and superior care due to the immediacy of her care and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turnover rate has reduced substantially over the past three years due to quality initiatives that have been implemented beginning when an applicant is interviewed for a position.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turnover is a key performance indicator that is reviewed annually.  It is felt that staff that are happy and satisfied in their work do a better job; and a stable team provides better continuity of care for residents.  Staff turnover in 2016 was 28%, 30% in 2017, 33% in 2018 and 13% in 2019.  Quality initiatives implemented have included; 1) Taking additional time to conduct more robust interviews to look for applicants with the best fit; 2) Altering the caregiver staff orientation process whereby instead of buddying new staff with a more experienced caregiver for two days, caregiver staff are buddied with a caregiver who has a level four Careerforce qualification who buddies with the new caregiver over a longer period, regularly checking in with the new staff to see how they are progressing; 3) Appraisals are competency based and include a team worker peer review; and 4) Care staff have been issued with smarter, more professional looking uniforms.  Interviews with staff reflected an atmosphere of pride and teamwork.  Resident satisfaction survey results (January 2020) have improved with all 16 (100%) of respondents reporting that they are either satisfied or very satisfied with the services provided compared to an 83.2% satisfaction rating at the last survey.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 M &amp; D L Beer Holdings Limited - Kenwyn Rest Home &amp; Hospital</w:t>
    </w:r>
    <w:bookmarkEnd w:id="58"/>
    <w:r>
      <w:rPr>
        <w:rFonts w:cs="Arial"/>
        <w:sz w:val="16"/>
        <w:szCs w:val="20"/>
      </w:rPr>
      <w:tab/>
      <w:t xml:space="preserve">Date of Audit: </w:t>
    </w:r>
    <w:bookmarkStart w:id="59" w:name="AuditStartDate1"/>
    <w:r>
      <w:rPr>
        <w:rFonts w:cs="Arial"/>
        <w:sz w:val="16"/>
        <w:szCs w:val="20"/>
      </w:rPr>
      <w:t>2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