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Windsor House Board of Governors - Windsorcare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Windsor House Board of Governors</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Windsorcare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February 2020</w:t>
      </w:r>
      <w:bookmarkEnd w:id="7"/>
      <w:r w:rsidRPr="009418D4">
        <w:rPr>
          <w:rFonts w:cs="Arial"/>
        </w:rPr>
        <w:tab/>
        <w:t xml:space="preserve">End date: </w:t>
      </w:r>
      <w:bookmarkStart w:id="8" w:name="AuditEndDate"/>
      <w:r w:rsidR="00A4268A">
        <w:rPr>
          <w:rFonts w:cs="Arial"/>
        </w:rPr>
        <w:t>5 February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A further two resident rooms in the rest home area were verified as suitable for dual purpose.  This will increase the number of dual-purpose beds from 8 to 10, with the total number of beds remaining the same at 81.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Windsorcare service provides rest home, hospital and dementia level care for up to 81 residents.  At the time of the audit there were 73 residents in total.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As part of this audit, a further two resident rooms in the rest home area were verified as suitable for dual purpose.  This will increase the number of dual-purpose beds from 8 to 10, with the total number of beds remaining the same at 81.</w:t>
      </w:r>
    </w:p>
    <w:p w:rsidRPr="00A4268A">
      <w:pPr>
        <w:spacing w:before="240" w:line="276" w:lineRule="auto"/>
        <w:rPr>
          <w:rFonts w:eastAsia="Calibri"/>
        </w:rPr>
      </w:pPr>
      <w:r w:rsidRPr="00A4268A">
        <w:rPr>
          <w:rFonts w:eastAsia="Calibri"/>
        </w:rPr>
        <w:t>The service has a general manager who is responsible for operational management of the service.  He is supported by a management team including a clinical manager, contracted quality manager/RN, an HR/payroll manager and long serving staff.</w:t>
      </w:r>
    </w:p>
    <w:p w:rsidRPr="00A4268A">
      <w:pPr>
        <w:spacing w:before="240" w:line="276" w:lineRule="auto"/>
        <w:rPr>
          <w:rFonts w:eastAsia="Calibri"/>
        </w:rPr>
      </w:pPr>
      <w:r w:rsidRPr="00A4268A">
        <w:rPr>
          <w:rFonts w:eastAsia="Calibri"/>
        </w:rPr>
        <w:t>The three previous shortfalls identified around; mandatory training attendance, care planning and neurological observations monitoring have been addressed.  The continuous improvement previously awarded around the activity programme continues.</w:t>
      </w:r>
    </w:p>
    <w:p w:rsidRPr="00A4268A">
      <w:pPr>
        <w:spacing w:before="240" w:line="276" w:lineRule="auto"/>
        <w:rPr>
          <w:rFonts w:eastAsia="Calibri"/>
        </w:rPr>
      </w:pPr>
      <w:r w:rsidRPr="00A4268A">
        <w:rPr>
          <w:rFonts w:eastAsia="Calibri"/>
        </w:rPr>
        <w:t xml:space="preserve">This audit identified no areas for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There is evidence that residents and relatives are kept informed of any changes.  A system for managing complaints is in place, complaints were well managed.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Key components of service delivery is linked to the quality management system.  There is an implemented internal audit programme to monitor outcomes.  The quality process being implemented includes regularly reviewed policies, an internal audit programme and a health and safety programme that includes hazard management.  Quality information is reported to staff and quality and risk management meetings.  </w:t>
      </w:r>
    </w:p>
    <w:p w:rsidRPr="00A4268A">
      <w:pPr>
        <w:spacing w:before="240" w:line="276" w:lineRule="auto"/>
        <w:rPr>
          <w:rFonts w:eastAsia="Calibri"/>
        </w:rPr>
      </w:pPr>
      <w:r w:rsidRPr="00A4268A">
        <w:rPr>
          <w:rFonts w:eastAsia="Calibri"/>
        </w:rPr>
        <w:t xml:space="preserve">There is a reporting process being used to record and manage resident incidents.  Incidents are collated monthly and reported to facility meetings.  </w:t>
      </w:r>
    </w:p>
    <w:p w:rsidRPr="00A4268A">
      <w:pPr>
        <w:spacing w:before="240" w:line="276" w:lineRule="auto"/>
        <w:rPr>
          <w:rFonts w:eastAsia="Calibri"/>
        </w:rPr>
      </w:pPr>
      <w:r w:rsidRPr="00A4268A">
        <w:rPr>
          <w:rFonts w:eastAsia="Calibri"/>
        </w:rPr>
        <w:t>The staff training programme is implemented and based around policies and procedures.  Annual resident and relative satisfaction surveys are completed.  Monthly meetings are held.</w:t>
      </w:r>
    </w:p>
    <w:p w:rsidRPr="00A4268A">
      <w:pPr>
        <w:spacing w:before="240" w:line="276" w:lineRule="auto"/>
        <w:rPr>
          <w:rFonts w:eastAsia="Calibri"/>
        </w:rPr>
      </w:pPr>
      <w:r w:rsidRPr="00A4268A">
        <w:rPr>
          <w:rFonts w:eastAsia="Calibri"/>
        </w:rPr>
        <w:t xml:space="preserve">Human resources are managed in accordance with good employment practice and meeting legislative requirements.  An orientation programme is in place.  The service has sufficient staff allocated to enable the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and reviews residents' needs, outcomes and goals with the resident and/or family/whānau input.  Care plans reviewed in resident records demonstrated service integration and had been evaluated at least six monthly.  Resident files included interRAI assessments, medical notes by the contracted GP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 responsible for administration of medicines complete education and medication competencies.  The medicine charts reviewed on the electronic medication system met prescribing requirements and were reviewed at least three monthly.  </w:t>
      </w:r>
    </w:p>
    <w:p w:rsidRPr="00A4268A" w:rsidP="00621629">
      <w:pPr>
        <w:spacing w:before="240" w:line="276" w:lineRule="auto"/>
        <w:rPr>
          <w:rFonts w:eastAsia="Calibri"/>
        </w:rPr>
      </w:pPr>
      <w:r w:rsidRPr="00A4268A">
        <w:rPr>
          <w:rFonts w:eastAsia="Calibri"/>
        </w:rPr>
        <w:t xml:space="preserve">A team of diversional therapists and activity assistants implement and coordinate the activity programme for the residents at rest home, hospital and dementia level of care.  The programme includes community visitors and outings, entertainment and activities and integrated activities that meet the individual recreational, physical, cultural and cognitive abilities and preferences for each resident group.  Residents and families reported satisfaction with the activities programme.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The kitchen is well equipped for the size of the service.  Food, fluid, and nutritional needs of residents are provided in line with recognised nutritional guidelines and additional requirements/modified needs were being met.  There are nutritious snacks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There is a reactive and planned maintenance programme in place.  Residents can freely mobilise within the communal areas with safe access to the outdoors, seating and shade.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practices are only used where it is clinically indicated and justified, and other de-escalation strategies have been ineffective.  The policies and procedures include definitions, processes and use of enablers.  At the time of the audit there were two residents using restraint and one resident using an enabler.  Staff have received training on restraint minimisation and the management of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uses the information obtained through surveillance to determine infection control activities and education needs within the facility.  The 2018 and 2019 outbreaks were well managed.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Complaints forms are in a visible location at the entrance to the facility.  The general manager maintains a record of all complaints, both verbal and written, by using a complaint’s register.  Six complaints/concerns made in 2019 evidenced appropriate action was taken.  Documentation including acknowledgement letters, follow-up letters and resolution dates demonstrated that complaints are being managed in accordance with guidelines set by the HDC.  Any corrective actions developed are followed up and implemented.  One complaint was investigated by planning and funding with no findings.   Discussions with residents and relatives confirmed they were provided with information on complaints and complaints forms.  There have been no complaints received for 2020 YTD.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Comprehensive information is provided at entry to residents and family/whānau.  Four residents interviewed (three rest home and one hospital) stated that they were welcomed on entry and were given time and explanation about the services and procedures.  Both the general manager and clinical manager were available to residents and relatives and they promote an open-door policy.  Incident forms reviewed from January 2020 evidenced that relatives had been notified on all occasions.  Four relatives interviewed (three dementia and one hospital) advised that they are notified of incidents and when residents’ health status changes promptly.  The two registered nurses, one enrolled nurse, six caregivers, two cooks and the two diversional therapists interviewed fluently described instances where relatives would be notified.  Newsletters are available for relatives.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Windsorcare provides rest home, hospital (medical and geriatric) and dementia level care for up to 81 residents.  On the day of the audit there were 73 residents in total, including 20 of 20 rest home residents, 34 of 41 hospital level residents, including one resident on an end of life contract, and two residents on respite.  There were 19 of 20 dementia care residents including one resident on respite.  All permanent residents were on the age-related residential care (ARRC) contract.  This audit has also included verifying a further two rooms in the rest home area as suitable for dual purpose as per the MOH letter dated 2 October 2018.  This increases the dual-purpose beds from eight to 10.  The total number of beds remain at 81.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governed by the Windsor House board of governors (eight volunteer governors on the board).  The board meets monthly and receives reports on all aspects of service delivery at Windsor House.  The general manager reports to the monthly board of trustees meeting.  The service is in the process of reviewing the 2019 strategic plan and quality and risk management programme and preparing the 2020 plan.  The organisation has a philosophy of care which includes a mission statement.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has a PhD in management and has been in the role for five years.  He is supported by an experienced clinical manager, contracted quality manager/RN an HR/payroll manager and long-standing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has been in the role for two years and provides clinical oversight at Windsorcare.  She has previous experience in aged care and clinical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and clinical manager have completed in excess of eight hours of professional development in the past 12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Windsorcare has a business plan and a quality and risk management programme that outlines objectives/goals which is currently under review.  The quality and risk process being implemented includes regularly reviewed policies, an internal audit programme and a health and safety programme that includes hazard management.  Quality and risk performance is reported across the facility meetings.  A 2019 annual summary has been prepared and was discussed at the combined quality meeting and displayed on the staff noticeboards.  There are monthly combined quality/management/infection control and health and safety meetings, and a monthly clinical meeting.  Meeting minutes sighted evidenced there is discussion around quality data including complaints, compliments, health and safety, accident/incidents, infection control, internal audit and survey results.  Caregivers interviewed stated they are well informed and have ready access to meeting minutes and quality data which is displayed in the staffroom (sighted).  Monthly reports by the general manager to the board of governors provide a coordinated process between service level and organisation. </w:t>
            </w:r>
          </w:p>
          <w:p w:rsidR="00EB7645" w:rsidRPr="00BE00C7" w:rsidP="00BE00C7">
            <w:pPr>
              <w:pStyle w:val="OutcomeDescription"/>
              <w:spacing w:before="120" w:after="120"/>
              <w:rPr>
                <w:rFonts w:cs="Arial"/>
                <w:b w:val="0"/>
                <w:lang w:eastAsia="en-NZ"/>
              </w:rPr>
            </w:pPr>
            <w:r w:rsidRPr="00BE00C7">
              <w:rPr>
                <w:rFonts w:cs="Arial"/>
                <w:b w:val="0"/>
                <w:lang w:eastAsia="en-NZ"/>
              </w:rPr>
              <w:t>Quality initiatives at Windsorcare in 2019 included (but not limited to) provision of a regular relative and resident support meeting which is held in the evening to allow working relatives to attend, this is well attended and has received good feedback.  Isolation trolleys are now in place in all the units.  Individual mailboxes have been made available for nurses, a container has been purchased to store all emergency equipment and supplies and the filing and document management systems have been reviewed and improved.  The quality objectives are discussed regularly, progress towards completion is documented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satisfaction survey which was last completed in December 2018.  Overall results reported that residents and relatives are satisfied with the service.  Areas of high satisfaction included the gardens, grounds and internal environment, residents felt their rights were upheld, and a high standard of care was provided.  Areas with mixed results included the activities and food services.  Corrective actions were put into place to include extending the activities programme across seven days and increasing social engagement across the whole facility to include the residents in the village.  The residents in the village are invited to attend inhouse entertainment, and the residents in the facility attend village activities as they wish.  There has been a focus on improving the food services and dining experiences, including a menu review.  Results were discussed at the combined quality meeting and discussed with the staff.  The December 2019 survey has been delayed as the service are reviewing the template and survey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is discussed at the combined monthly meeting.  Staff interviewed could fluently describe hazard management.  The quality consultant has attended a health and safety forum provided by the CDHB and reported information back to the combined meeting.  The hazard register is up-to-date and was last reviewed in January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accident/incident forms (two rest home, four hospital and four dementia care) were reviewed for January 2020.  All incident forms identified relatives’ notification, timely RN assessment of the resident.  Corrective actions to minimise resident risk were included in the resident care plans.  Neurological observations had been completed as per protocol for unwitnessed falls and any known head injury.  Accident/incident data, trends and corrective actions are documented in meeting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clinical manager and quality consultant interviewed could describe situations that would require reporting to relevant authorities.  There were four section 31 notifications reported in 2019 including the two outbreaks, one non-facility acquired pressure injury and one facility acquired pressure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Seven staff files were reviewed (the clinical manager, one RN, one EN, one diversional therapist, the three caregivers).  All files contained relevant employment documentation including current performance appraisals and completed orientations.  The orientation programme provides new staff with relevant information for safe work practice.  Staff interviewed were able to describe the orientation process and believed new staff were adequately orientated to the service.  All staff must complete annual competencies prior to their appraisal.  The register of nursing practising certificates and allied health professionals is current.  </w:t>
            </w:r>
          </w:p>
          <w:p w:rsidR="00EB7645" w:rsidRPr="00BE00C7" w:rsidP="00BE00C7">
            <w:pPr>
              <w:pStyle w:val="OutcomeDescription"/>
              <w:spacing w:before="120" w:after="120"/>
              <w:rPr>
                <w:rFonts w:cs="Arial"/>
                <w:b w:val="0"/>
                <w:lang w:eastAsia="en-NZ"/>
              </w:rPr>
            </w:pPr>
            <w:r w:rsidRPr="00BE00C7">
              <w:rPr>
                <w:rFonts w:cs="Arial"/>
                <w:b w:val="0"/>
                <w:lang w:eastAsia="en-NZ"/>
              </w:rPr>
              <w:t>The in-service education programme for 2019 has been completed and the 2020 programme is being implemented.  Staff attendance has been more than 50% at compulsory training.  A spreadsheet is maintained of all training for clinical and non-clinical staff.  The attendance is monitored and recorded.  Staff are reminded through the noticeboards and reminders using the time target system.  The previous finding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of ten RNs have completed their interRAI training.  Staff complete competencies relevant to their roles.  All staff rotate through all of the units.  Twenty-eight caregivers who work in the dementia care unit have completed the dementia unit standards.  Caregivers are encouraged to complete NZQA qualifications.  There is an assessor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Thirty-four staff have Careerforce qualifications and a further 10 have L4 equivalent qualifications.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staffing policy that aligns with contractual requirements and includes skill mixes.  The electronic roster provides sufficient and appropriate coverage for the effective delivery of care and support.  The general manager and clinical manager work full time from Monday to Friday.  The general manager is available 24/7 for any operational or facility concerns and the clinical manager is on call for any clinical issues.  Residents and relatives stated there were adequate staff on duty at all times.  Staff interviewed felt that they are supported by the management who respond quickly to afterhours clinical or facility concerns.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have a roster pattern of four on – two off.  Due to this, there are often more than two nurses on duty.  In this case, one RN completes documentation.</w:t>
            </w:r>
          </w:p>
          <w:p w:rsidR="00EB7645" w:rsidRPr="00BE00C7" w:rsidP="00BE00C7">
            <w:pPr>
              <w:pStyle w:val="OutcomeDescription"/>
              <w:spacing w:before="120" w:after="120"/>
              <w:rPr>
                <w:rFonts w:cs="Arial"/>
                <w:b w:val="0"/>
                <w:lang w:eastAsia="en-NZ"/>
              </w:rPr>
            </w:pPr>
            <w:r w:rsidRPr="00BE00C7">
              <w:rPr>
                <w:rFonts w:cs="Arial"/>
                <w:b w:val="0"/>
                <w:lang w:eastAsia="en-NZ"/>
              </w:rPr>
              <w:t>In the hospital area, there are 34 of 41 hospital residents (including the resident on the end of life contract and three rest home level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RNs on the morning and afternoon shifts and one on the night shift.  The RNs are supported by eight caregivers; 4x 7 am to 3 pm, 2x 7 am to 1 pm and 2x 8.30 am to 12.30 pm.  The afternoon shift has eight caregivers; 3x 3 pm to 11 pm (one of these is used as a “float’), 2x 3 pm to 9.30 pm and 2x 4 pm to 8 pm.    </w:t>
            </w:r>
          </w:p>
          <w:p w:rsidR="00EB7645" w:rsidRPr="00BE00C7" w:rsidP="00BE00C7">
            <w:pPr>
              <w:pStyle w:val="OutcomeDescription"/>
              <w:spacing w:before="120" w:after="120"/>
              <w:rPr>
                <w:rFonts w:cs="Arial"/>
                <w:b w:val="0"/>
                <w:lang w:eastAsia="en-NZ"/>
              </w:rPr>
            </w:pPr>
            <w:r w:rsidRPr="00BE00C7">
              <w:rPr>
                <w:rFonts w:cs="Arial"/>
                <w:b w:val="0"/>
                <w:lang w:eastAsia="en-NZ"/>
              </w:rPr>
              <w:t>In the rest home area, there are 20 rest home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caregivers; 2x 7 am to 3 pm (one of whom is medicine competent), and 1x 8.30 am to 12.30 pm.  The afternoon shift has two caregivers rostered; one 3 pm to 11 pm (medicine competent) and 1x 3 pm to 9.30 pm.  </w:t>
            </w:r>
          </w:p>
          <w:p w:rsidR="00EB7645" w:rsidRPr="00BE00C7" w:rsidP="00BE00C7">
            <w:pPr>
              <w:pStyle w:val="OutcomeDescription"/>
              <w:spacing w:before="120" w:after="120"/>
              <w:rPr>
                <w:rFonts w:cs="Arial"/>
                <w:b w:val="0"/>
                <w:lang w:eastAsia="en-NZ"/>
              </w:rPr>
            </w:pPr>
            <w:r w:rsidRPr="00BE00C7">
              <w:rPr>
                <w:rFonts w:cs="Arial"/>
                <w:b w:val="0"/>
                <w:lang w:eastAsia="en-NZ"/>
              </w:rPr>
              <w:t>In the dementia care area, there is 19 of 20 dementia residents.</w:t>
            </w:r>
          </w:p>
          <w:p w:rsidR="00EB7645" w:rsidRPr="00BE00C7" w:rsidP="00BE00C7">
            <w:pPr>
              <w:pStyle w:val="OutcomeDescription"/>
              <w:spacing w:before="120" w:after="120"/>
              <w:rPr>
                <w:rFonts w:cs="Arial"/>
                <w:b w:val="0"/>
                <w:lang w:eastAsia="en-NZ"/>
              </w:rPr>
            </w:pPr>
            <w:r w:rsidRPr="00BE00C7">
              <w:rPr>
                <w:rFonts w:cs="Arial"/>
                <w:b w:val="0"/>
                <w:lang w:eastAsia="en-NZ"/>
              </w:rPr>
              <w:t>One of the enrolled nurses (four on - two off) covers four hours of her shift in the dementia unit and four hours in the cottages.</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caregivers rostered on the morning shift; 2x 7 am to 3 pm (one medicine competent), and 1x 8.30 am to 12.30 pm.  The afternoon shift has three caregivers rostered; 2x 3 pm to 11 pm (one medicine competent) and 1x 4.30 pm to 8.30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night shift for the facility has one registered nurse and four caregivers.  One caregiver is based in the dementia unit, and three in the hospital/rest home areas.  One of the caregivers relieves the caregiver in the dementia unit for 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main medication room is located in the hospital unit with locked medication trolleys/cupboards in the nurse’s station of the rest home and the dementia care unit.  Clinical staff who administer medications (RNs, ENs and senior caregivers) have been assessed for competency on an annual basis.  Registered nurses have completed syringe driver training and they are supported by the hospice for palliative care.  Education around safe medication administration has been provided.  Medications are received in blister packs and checked by the RN against the medication chart and signed off on the medication reconciliation form.  Any discrepancies are fed back to the pharmacy.  ‘As required’ blister packs are checked weekly for stock and expiry dates.  A bulk supply order is maintained for hospital level residents.  There were no self-medicating residents.  The medication fridges and medication room air temperature monitoring are completed daily.  All eye drops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Eleven medication charts reviewed on the electronic medication system and one paper-based medication met legislative prescribing requirements.  All medication charts had photo identification and allergy status noted.  The GP had reviewed the medication charts three monthly.  All medications had been administered as prescribed.  Outcomes had been recorded for ‘as required’ medications.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Windsorcare are prepared and cooked on site in a well-equipped kitchen.  A head cook is supported by a second cook and catering assistants.  There is a four-weekly seasonal menu which had been reviewed by a dietitian.  The main meal is at midday.  Dislikes and resident preferences are known and accommodated.  Pureed/soft meals are provided as requested.  Meals are plated in the kitchen, covered with insulated lids and delivered to the areas by trolley.  Jugs of fluids, smoothies and high protein drinks are made daily and delivered to the areas.  There are nutritional snacks available 24 hours in the dementia care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food control plan that expires December 2020.  End-cooked food temperatures, re-heating and serving temperatures are taken recorded on each meal.   Fridge, freezer and chiller temperatures are taken and recorded daily.  Temperatures of inward goods are recorded.  The dishwasher is checked regularly by the chemical supplier.  All food services staff have completed training in food safety and hygiene and chemical safety.  A kitchen cleaning schedule is in place and implemented.  Dried goods and perishable foods are dated.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along with direct input from residents, provide resident feedback on the meals and food services generally.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plans reviewed were individualised and detailed to reflect the outcomes of assessments.  Care plans documented current supported to meet all assessed resident needs.  The format of the long-term care plan includes prompts for cares and detailed individual interventions to support the residents.  The previous finding around care plan documentation to meet resident needs has been addressed.  Caregivers interviewed stated the care plans provided enough information to guide the safe delivery of care.  Relatives interviewed confirmed they were involved in the care planning process.  Care plans evidenced resident (as appropriate) and family/whānau involvement in the care plan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24-hour activity plans for residents with dementia that included morning, afternoon and night-time habits/behaviours and de-escalation techniques including activities.  Behaviour plans linked to the interRAI assessments with appropriate interventions and monitoring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demonstrated service integration.  There was evidence of allied health care professionals involved in the care of the resident including physiotherapist, dietitian, palliative care nurse, community geriatrician and gerontology nurse specialist and older person mental health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GP or nurse specialist consultation.  Discussions with families and notifications are documented in the resident files on the relative contact form and include GP visits, medication changes, infections, accident/incidents, multidisciplinary meetings, appointments and referrals.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 the hospital treatment rooms.  Wound management policies and procedures are in place.  Wound assessments, wound maps, treatment and evaluations including photos and short-term care plans were in place for all current wounds (13 in the hospital, six in the rest home and one in the dementia care unit).  Chronic wounds were linked to the long-term care plans.  Change of dressings and evaluations had occurred at the required frequency.  The wound nurse had been involved in the management of chronic wounds and vascular specialist for vascular ulcers.  There were no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monitoring forms used to monitor a resident’s health status.  Residents are weighed monthly or more frequently if weight is of concern.  Monitoring occurs for weight, vital signs, blood glucose, pain, food and fluid intake, two hourly positioning, challenging behaviours and neurological observations.  Weekly weigh monitoring and daily blood pressure monitoring had been completed as per GP instructions.  The previous finding around monitoring forms and neurological observations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two qualified diversional therapists (DT) and two activity assistants who develop and implement the separate wellbeing activity programmes for the rest home, hospital and dementia unit.  The programme is provided from Sunday to Friday with resident led or caregivers initiated on Saturdays.  The programme identifies integrated activities that all residents are invited to attend in the entertainment room such as bowls, entertainment, exercises, movies, happy hour, inter-home visits and celebrations/events.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unit also has activities that are meaningful and meet the resident preferences, physical and cognitive abilities of the resident group.  There are one on one activities such as individual walks, wheelchair walks, massage, reminiscing reading, arts and crafts that occur for residents who are unable or choose not to be involved in group activities.  Volunteers are involved in the activities and include, one on one visiting and chats, board games, church services and visiting dog therapy.  The dementia care programme is flexible around the residents needs and include sensory activities such as baking, gardening and crafts.  Residents as suitable, under supervision, attend integrated activities.   The Clown Doctors continue to engage with residents and a men’s group and ladies’ group has been formed.  The service has maintained a CI rating round activity.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regular outings and drives for all residents (as appropriate) including visits to the library and shopping.  The service has a van and a mobility van is hired for monthly hospital level residents.  The DTs have current first aid certificates.  An activity assessment and plan are completed on admission in consultation with the resident/family (as appropriate).  Activity plans in all files were reviewed six monthly.  Families are invited to the resident meetings in the rest home and the hospital.  There are three monthly support meetings for families of dementia care residents.  The service also receives feedback and suggestions for the programme through surveys and one on one feedback from residents (as appropriate) and families.  Residents and families interviewed were very satisfied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reviewed were evaluated by the RN within three weeks of admission.  Long-term care plans had been reviewed at least six monthly or earlier for any health changes for long-term residents.  Written evaluations documented if the resident goals had been met or unmet and changes made by the RN to reflect the resident’s current needs/supports.  The resident (as appropriate) and family are involved in the multidisciplinary review.  The GP reviews the residents at least three monthly or earlier if required.  Ongoing nursing evaluations occur as indicated and are documented within the progress notes and are evident in changes made to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January 2021.  A request list is completed for any maintenance and repairs and entered into a computer data base.  An annual planned maintenance schedule is maintained and includes maintenance for internal and external areas, kitchen, laundry and clinical areas.  Annual testing and tagging of electrical equipment have been completed and calibrations of medical equipment.  Essential contractors are available 24 hours.  Hot water temperatures in resident areas are monitored and are maintained within acceptable limits.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safely mobilise using mobility aids.  There is safe access the outdoor areas.  Seating and shade are provided.  The rest home rooms are spacious with ensuites.  An additional two rest homes rooms were assessed as suitable for dual purpose beds.  There is sufficient space for cares to be delivered and for the transfer of residents by hoist if required.  There are call bells at the head of the bed and in the ensuites.  </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has an indoor/outdoor flow with pathways and entry/exits into two courtyards with gardens shade and seating.  The caregivers and RNs interviewed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(clinical manager) collates information obtained through surveillance to determine infection control activities and education needs in the facility.  Individual infection reports and short-term care plans are completed for all infections.  Infection control data and relevant information is displayed for staff.  Definitions of infections are in place appropriate to the complexity of service provided.  Infection control data is discussed at the combined quality meetings and the clinical meetings.   Annual infection control reports are provided.  Trends are identified, and preventative measures put in place.  Internal audits for infection control including kitchen, cleaning and clinical care are included in the annual audit schedule.  There is close liaison with the GP that advises and provides feedback/information to the service.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outbreaks on 2019.  Both were well managed, daily logs and communication with staff was maintained.  Notifications were timely.  Debrief meetings were held post each outbreak.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designated storage space (new initiative) provided for outbreak and disaster equipment and supplies.  Nine trolleys have been purchased (three per 20 residents) and are available in each wing of the facility, excluding the Dementia Unit where outbreak supplies are stored in a staff-only access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 policy includes comprehensive restraint procedures.  There are clear guidelines in the policy to determine what a restraint is and what an enabler is.  The restraint standards are being implemented and implementation of any restraint and enablers is reviewed through internal audits, RN and facility meetings.  Interviews with the staff confirmed their understanding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Enablers are assessed as required for maintaining safety and independence and are used voluntarily by the residents.  On the day of audit, there were two residents using bedrails as restraint and one resident enabler.  The resident’s file included the enabler, any risks associated with its use, and monthly review of the enabler.  Two hourly checks were documented as charted.  Staff have received training on restraint minimisation in June 2019 and the management of challenging behaviours in May and October 2019.</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2391"/>
        <w:gridCol w:w="836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continued to engage the Clown Doctors who have now had hours extended to visits the rest home residents.  Resident records evidenced the positive effect the Clown Doctors have on the resident’s wellbeing.  The service has continued to initiate new activities as suggested by residents and families.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Clown Doctors have been attending the hospital level residents and for the last two months the Clown Doctor hours on site have increased to visit the rest home residents.  Over the last 18 months the same Clown Doctors have visited the residents and know them well.  The Clown Doctors were present on the day of the unannounced audit.  They were spontaneous, clever, funny and brought obvious joy to the residents who they greeted personally.  Residents also enjoyed seeing the interaction between the Clown Doctors and the staff.  The Clown Doctors visit fortnightly and maintain their own records on each resident visited.  Currently they visit 50 residents each time they visit.  They report any concerns they have about a resident’s wellbeing to the RNs.  A lady’s group has been formed who enjoy going to gardens, shopping and out to cafés for lunch/coffee.  The men’s group have regular outings to the working man’s club for lunches or a beer.  Residents have suggested a day out to Orana park and they have commenced fundraising with their crafts to raise funds for those residents wishing to go on the outing.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Windsor House Board of Governors - Windsorcare</w:t>
    </w:r>
    <w:bookmarkEnd w:id="58"/>
    <w:r>
      <w:rPr>
        <w:rFonts w:cs="Arial"/>
        <w:sz w:val="16"/>
        <w:szCs w:val="20"/>
      </w:rPr>
      <w:tab/>
      <w:t xml:space="preserve">Date of Audit: </w:t>
    </w:r>
    <w:bookmarkStart w:id="59" w:name="AuditStartDate1"/>
    <w:r>
      <w:rPr>
        <w:rFonts w:cs="Arial"/>
        <w:sz w:val="16"/>
        <w:szCs w:val="20"/>
      </w:rPr>
      <w:t>5 February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