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Karaka Court Limited - Woodlands of Palmerston North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Karaka Court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Of Palmerston North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19 February 2020</w:t>
      </w:r>
      <w:bookmarkEnd w:id="7"/>
      <w:r w:rsidRPr="009418D4">
        <w:rPr>
          <w:rFonts w:cs="Arial"/>
        </w:rPr>
        <w:tab/>
        <w:t xml:space="preserve">End date: </w:t>
      </w:r>
      <w:bookmarkStart w:id="8" w:name="AuditEndDate"/>
      <w:r w:rsidR="00A4268A">
        <w:rPr>
          <w:rFonts w:cs="Arial"/>
        </w:rPr>
        <w:t>20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Woodlands of Palmerston North is one of two facilities owned by Karaka Court Ltd.  Woodlands of Palmerston North provides care for up to 38 residents at rest home and secure dementia level of care.  On the day of audit there were 24 residents and three boarders.</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service has a mission, business goals and quality goals that support the service goals of a family friendly service.</w:t>
      </w:r>
    </w:p>
    <w:p w:rsidRPr="00A4268A">
      <w:pPr>
        <w:spacing w:before="240" w:line="276" w:lineRule="auto"/>
        <w:rPr>
          <w:rFonts w:eastAsia="Calibri"/>
        </w:rPr>
      </w:pPr>
      <w:r w:rsidRPr="00A4268A">
        <w:rPr>
          <w:rFonts w:eastAsia="Calibri"/>
        </w:rPr>
        <w:t xml:space="preserve">The service is managed by a non-clinical manager and a clinical nurse leader.  Residents and relatives interviewed spoke positively about the service provided. </w:t>
      </w:r>
    </w:p>
    <w:p w:rsidRPr="00A4268A">
      <w:pPr>
        <w:spacing w:before="240" w:line="276" w:lineRule="auto"/>
        <w:rPr>
          <w:rFonts w:eastAsia="Calibri"/>
        </w:rPr>
      </w:pPr>
      <w:r w:rsidRPr="00A4268A">
        <w:rPr>
          <w:rFonts w:eastAsia="Calibri"/>
        </w:rPr>
        <w:t>The previous shortfall around staff appraisals and dementia standards training have been addressed.  This audit identified five areas for improvement around; implementation of the quality process, care plan interventions, activities for residents, evaluations of care and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There is a documented quality and risk policy and procedure.  Quality improvement plans are developed when service shortfalls are identified.  Residents receive appropriate services from suitably qualified staff.  An orientation programme is in place for new staff.  There is an annual education and training plan that exceeds eight hours annually.  Residents and families reported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service has an assessment process and residents’ needs are assessed prior to entry.  Assessments, care plans and evaluations are completed by the registered nurse.  Residents/relatives are involved in planning and evaluating care.  Risk assessment tools and monitoring forms are available and implemented and are used to assess the level of risk and support required for residents.  Service delivery plans demonstrate service integration.  Short term care plans are in use for changes in health status.  Care plans are evaluated six monthly.  The service facilitates access to other medical and non-medical services.  There is a documented activity plan with activities lead by caregivers. </w:t>
      </w:r>
    </w:p>
    <w:p w:rsidRPr="00A4268A" w:rsidP="00621629">
      <w:pPr>
        <w:spacing w:before="240" w:line="276" w:lineRule="auto"/>
        <w:rPr>
          <w:rFonts w:eastAsia="Calibri"/>
        </w:rPr>
      </w:pPr>
      <w:r w:rsidRPr="00A4268A">
        <w:rPr>
          <w:rFonts w:eastAsia="Calibri"/>
        </w:rPr>
        <w:t xml:space="preserve">There is a robust medication process documented.  Staff complete competency assessments.  </w:t>
      </w:r>
    </w:p>
    <w:p w:rsidRPr="00A4268A" w:rsidP="00621629">
      <w:pPr>
        <w:spacing w:before="240" w:line="276" w:lineRule="auto"/>
        <w:rPr>
          <w:rFonts w:eastAsia="Calibri"/>
        </w:rPr>
      </w:pPr>
      <w:r w:rsidRPr="00A4268A">
        <w:rPr>
          <w:rFonts w:eastAsia="Calibri"/>
        </w:rPr>
        <w:t>Meals are prepared on site.  Individual and special dietary needs are catered for.  Residents interviewed responded favourably about the food that is provided.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are lounges and dining areas that allow freedom of movement.  There are garden areas with accessible outdoor spaces, seating and shade including a secure area for those in the dementia unit.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At the time of the audit there were no residents with a restraint and no residents using an enabler.  Staff regularly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11</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07"/>
        <w:gridCol w:w="1280"/>
        <w:gridCol w:w="99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in place and the manager was able to explain the complaints process.  There have been no complaints documented since the previous audit.  Complaint forms are available at the service.  Residents interviewed confirmed they received information on the complaints process on admission and the manager is very approachable should they have any concerns/complaints.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incident/accident into the system.  Ten incident/accident reports reviewed met this requirement (five from the dementia unit and five from the rest home).  Resident files reviewed, documented family communication.  Four relatives interviewed (two from the rest home and two with family members in the secure dementia unit) confirmed they are notified following a change of health status of their family member.  There is an interpreter policy in place and contact details of interpreters were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of Palmerston North provides care for up to 38 residents at rest home and secure dementia level of care.  On the day of audit there were 12 rest home residents (plus three boarders) and 12 residents in the dementia unit.  There was one rest home resident on respite care at the time of the audit and one resident in the dementia unit funded though Manawhaikaha.  All other residents were under the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two company directors of Karaka Court Ltd operate two facilities, Woodlands of Palmerston North and Feilding.  The service has a mission, business goals and quality goals that support the service goals of a family friendly service.  There is an up to date business plan, a quality and risk plan and operational quality goals.  Goals are followed-up through meetings and formal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manager (non-clinical) who has been in the post for eleven years.  She reports to one of the directors monthly and is supported by a clinical leader/RN who works full time Monday to Friday.  The clinical leader has been in her role for four years.  The manager has maintained at least eight hours annually of professional development activities related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of Palmerston North has a documented quality and risk management system.  Quality and risk performance is monitored and reported though the service meetings, however not all quality data was documented as reported to meetings.  Service meetings held include monthly quality and risk meetings/staff meetings and monthly resident meetings.  Meeting minutes are maintained.  Two annual resident and relative surveys are completed, one around meals and one general survey results communicated to residents and staff.  Both of the 2019 surveys documented a high level of satisfaction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have been reviewed at least bi-annually and include procedures around the implementation of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There are clear guidelines and templates for reporting.  The facility collects, analyses and evaluates data.  Action plans are developed when service shortfalls are identified and followed up until rectified.  Quality and risk meetings monitor and ensure the follow-up of action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manager.  The health and safety committee meet monthly as part of the monthly quality/staff meeting.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sensor mats, increased monitoring, identification and meeting of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on forms and enters them into an electronic register.  The system provides reports monthly, which are discussed at the monthly quality and risk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incident forms were reviewed.  All incident forms identified a timely RN assessment of the resident and corrective actions to minimise resident risk.  Neurological observations had been completed for unwitnessed falls and any known head injury.  The next of kin had been notified for all required incidents/accidents.  The caregivers interviewed could discuss the incident reporting process.  The RN clinical lead collects incident forms, investigates and reviews and implements corrective actions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interviewed could describe situations that would require reporting to relevant authorities.  The service has reported one missing resident (safely returned  to the service), to the Ministry of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Five staff files reviewed (the RN clinical leader, three caregivers, and one cook ) included a recruitment process, which included reference checking, signed employment contracts and job descriptions, completed orientation programmes and annual performance appraisals.  This is an improvement from the previous audit.  Health practitioner practising certificates are maintained on file.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There is a two-yearly education and training plan that exceeds eight hours annually.  There is an attendance register for each training session and an individual staff member record of training.  The clinical leader is interRAI trained.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in the dementia unit have completed the dementia standards training.  This is an improvement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meeting contractual requirements.  The clinical leader (RN) and the manager (non-clinical) are on site Monday to Friday.  The clinical leader is on call 24/7 when not on site.  </w:t>
            </w:r>
          </w:p>
          <w:p w:rsidR="00EB7645" w:rsidRPr="00BE00C7" w:rsidP="00BE00C7">
            <w:pPr>
              <w:pStyle w:val="OutcomeDescription"/>
              <w:spacing w:before="120" w:after="120"/>
              <w:rPr>
                <w:rFonts w:cs="Arial"/>
                <w:b w:val="0"/>
                <w:lang w:eastAsia="en-NZ"/>
              </w:rPr>
            </w:pPr>
            <w:r w:rsidRPr="00BE00C7">
              <w:rPr>
                <w:rFonts w:cs="Arial"/>
                <w:b w:val="0"/>
                <w:lang w:eastAsia="en-NZ"/>
              </w:rPr>
              <w:t>Caregiver rosters are as follows:</w:t>
            </w:r>
          </w:p>
          <w:p w:rsidR="00EB7645" w:rsidRPr="00BE00C7" w:rsidP="00BE00C7">
            <w:pPr>
              <w:pStyle w:val="OutcomeDescription"/>
              <w:spacing w:before="120" w:after="120"/>
              <w:rPr>
                <w:rFonts w:cs="Arial"/>
                <w:b w:val="0"/>
                <w:lang w:eastAsia="en-NZ"/>
              </w:rPr>
            </w:pPr>
            <w:r w:rsidRPr="00BE00C7">
              <w:rPr>
                <w:rFonts w:cs="Arial"/>
                <w:b w:val="0"/>
                <w:lang w:eastAsia="en-NZ"/>
              </w:rPr>
              <w:t>Dementia unit: - 12 residents</w:t>
            </w:r>
          </w:p>
          <w:p w:rsidR="00EB7645" w:rsidRPr="00BE00C7" w:rsidP="00BE00C7">
            <w:pPr>
              <w:pStyle w:val="OutcomeDescription"/>
              <w:spacing w:before="120" w:after="120"/>
              <w:rPr>
                <w:rFonts w:cs="Arial"/>
                <w:b w:val="0"/>
                <w:lang w:eastAsia="en-NZ"/>
              </w:rPr>
            </w:pPr>
            <w:r w:rsidRPr="00BE00C7">
              <w:rPr>
                <w:rFonts w:cs="Arial"/>
                <w:b w:val="0"/>
                <w:lang w:eastAsia="en-NZ"/>
              </w:rPr>
              <w:t>AM: two caregivers on full shifts, PM: one caregiver on a full shift and one caregiver on short shift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 12 residents.  </w:t>
            </w:r>
          </w:p>
          <w:p w:rsidR="00EB7645" w:rsidRPr="00BE00C7" w:rsidP="00BE00C7">
            <w:pPr>
              <w:pStyle w:val="OutcomeDescription"/>
              <w:spacing w:before="120" w:after="120"/>
              <w:rPr>
                <w:rFonts w:cs="Arial"/>
                <w:b w:val="0"/>
                <w:lang w:eastAsia="en-NZ"/>
              </w:rPr>
            </w:pPr>
            <w:r w:rsidRPr="00BE00C7">
              <w:rPr>
                <w:rFonts w:cs="Arial"/>
                <w:b w:val="0"/>
                <w:lang w:eastAsia="en-NZ"/>
              </w:rPr>
              <w:t>AM: two caregivers on full shifts and one caregiver on short shift.  PM: caregiver on long shift and one caregiver on short shift with an extra tea assist shift.  There is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Caregiving staff are responsible for laundry.  Cleaning staff work five days a week, four hours a day.  Staff reported that staffing levels and the skill mix was appropriate and safe.  Residents (four) and family interviewed, advised that they felt there is sufficient staffing.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robotic medication packs and an electronic charting system.  Medications are checked on arrival by the clinical leader and any pharmacy errors recorded and fed back to the supplying pharmacy.  Medications are stored securely.  Staff sign for the administration of medications on the electronic system.  There were no expired medications in the medication cupboard or in the fridge.  </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leader or senior caregivers administer the medication in both areas.  Annual medication competencies are completed.  The clinical leader advised there were no residents self-medicating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policies and procedures for ensuring all medicine related recording and documentation meets acceptable good practice standards.  A review of ten resident medication charts evidenced that the respite resident did not have a chart (rectified on day of audit).  The use of ‘as needed’ clonazepam did not always document the outcomes of its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monitored daily and the service has commenced room temperature monitoring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Allergies were not documented in all 10 medication charts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workable kitchen with three cooks rostered over the week, so one is on each day.  All have completed food safety training.  All residents have a nutritional and hydration care requirement developed on admission, which is reviewed at the six-monthly review.  Any special dietary requirements and food preferences are communicated to the kitchen and individual meals are supplied.  There is a summer and winter menu.  The menu rotates four weekly and is designed and reviewed by a registered dietitian (January 2018).  Diets are modified as required.  Kitchen fridge, food and freezer temperatures are monitored and documented.  Food temperature is checked and documented prior to serving.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there are additional nutritious snacks available in the unit over 24 hours for dementia residents.  </w:t>
            </w:r>
          </w:p>
          <w:p w:rsidR="00EB7645" w:rsidRPr="00BE00C7" w:rsidP="00BE00C7">
            <w:pPr>
              <w:pStyle w:val="OutcomeDescription"/>
              <w:spacing w:before="120" w:after="120"/>
              <w:rPr>
                <w:rFonts w:cs="Arial"/>
                <w:b w:val="0"/>
                <w:lang w:eastAsia="en-NZ"/>
              </w:rPr>
            </w:pPr>
            <w:r w:rsidRPr="00BE00C7">
              <w:rPr>
                <w:rFonts w:cs="Arial"/>
                <w:b w:val="0"/>
                <w:lang w:eastAsia="en-NZ"/>
              </w:rPr>
              <w:t>The kitchen, kitchen equipment and kitchen staff can meet the needs of the residents.  There is an approved Food Control Plan which expires March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Equipment is available on an as needed requirement.  Residents requiring extra assistance to eat and drink are assisted by caregivers and were observed during lunch.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relatives identified that the care that is being provided is consistent with the needs of residents.  Monitoring charts and behaviour monitoring charts were sighted in files sampled.  Care plans did not all reflect the individualised care needs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are assessed prior to admission.  GP, nurse practitioner and other specialist staff input was documented as needed.  During the tour of the facility it was noted that all staff treated residents with respect and dignity. </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room/cupboard is stocked for use.  Continence products are available and resident files included a urinary continence assessment, bowel management, and continence products identified for day use, night use, and other management.</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wounds.  There were no pressure injuries.  The clinical leader interviewed, described the assessment, plan and evaluation should there be a wound and the referral process should they require assistance from a wound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was without an activities’ person responsible for activities at the time of audit.  A new activities person starts 10 March. However, activities are taken place and their is a fully trained DT onsite (but not in the role).</w:t>
            </w:r>
          </w:p>
          <w:p w:rsidR="00EB7645" w:rsidRPr="00BE00C7" w:rsidP="00BE00C7">
            <w:pPr>
              <w:pStyle w:val="OutcomeDescription"/>
              <w:spacing w:before="120" w:after="120"/>
              <w:rPr>
                <w:rFonts w:cs="Arial"/>
                <w:b w:val="0"/>
                <w:lang w:eastAsia="en-NZ"/>
              </w:rPr>
            </w:pPr>
            <w:r w:rsidRPr="00BE00C7">
              <w:rPr>
                <w:rFonts w:cs="Arial"/>
                <w:b w:val="0"/>
                <w:lang w:eastAsia="en-NZ"/>
              </w:rPr>
              <w:t>The manager had documented a basic activity plan for the service in the interim time until the new activity person commences during March.  During the audit, caregivers were observed providing a basic level of activities for residents in the dementia unit and for the residents in the rest home.  Residents and family interviewed were happy with the current level of activities provided.  Not all residents had a personalised activity plan and there was no record of activities taking place or provided since December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had been evaluated by the clinical leader six monthly, but not always when changes to care needs occurred.  Six monthly evaluations were documented and included progress to meeting goals.  There was documented evidence of care plans being updated as required.  There is at least a three-monthly review by the GP/NP.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short-term care plans to focus on acute and short-term issues and these are reviewed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current building warrant of fitness sighted, which expires on 4 April 2020.  The facility is maintained in good order with regular maintenance and refurbishment.  There is a comprehensive check system of the building and equipment to be carried out by the maintenance person.  </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There are quiet, low stimulus areas that provide privacy when required.</w:t>
            </w:r>
          </w:p>
          <w:p w:rsidR="00EB7645" w:rsidRPr="00BE00C7" w:rsidP="00BE00C7">
            <w:pPr>
              <w:pStyle w:val="OutcomeDescription"/>
              <w:spacing w:before="120" w:after="120"/>
              <w:rPr>
                <w:rFonts w:cs="Arial"/>
                <w:b w:val="0"/>
                <w:lang w:eastAsia="en-NZ"/>
              </w:rPr>
            </w:pPr>
            <w:r w:rsidRPr="00BE00C7">
              <w:rPr>
                <w:rFonts w:cs="Arial"/>
                <w:b w:val="0"/>
                <w:lang w:eastAsia="en-NZ"/>
              </w:rPr>
              <w:t>The secure dementia unit has a separate lounge and dining area, which were both well-supervised on the day of audit.  There is a secure outside/garden area.</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well maintained and residents in both wings have access to gardens and indoor areas with ease.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Woodlands’ infection control manual.  Systems in place are appropriate to the size and complexity of the facility.  Monthly infection data is collected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Outcomes and actions are discussed at quality meetings and staff meetings.  If there is an emergent issue, it is acted upon in a timely manner.  Reports are easily accessible to the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practices are only used where it is clinically indicated, and other de-escalation strategies have been ineffective.  Restraint minimisation policies and procedures include definitions, processes and use of restraints and enablers.  At the time of the audit, there were no residents with a restraint and no residents using an enabler.  Staff training is in place around restraint minimisation and management of challenging behaviours.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02"/>
        <w:gridCol w:w="1280"/>
        <w:gridCol w:w="5239"/>
        <w:gridCol w:w="3380"/>
        <w:gridCol w:w="1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implemented schedule of internal audits.  Audits have been documented as undertaken with corrective action plans documented as needed.  Infection control data collection is collected monthly and reviewed.  The quality information around internal audits and infection control has not been consistently communicated to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data and internal audit information has not been documented as discussed in quality and risk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quality and risk information and statistics are documented as present to and discussed at meetings.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series of robust policies and procedures, developed by an external consultant to safety guide staff around safe and effective medication management and administration.  However, not all aspects of the policies have been adhered to including, the use of medication charts, recording of allergy status and effectiveness of ‘as needed’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respite resident had no medication chart with staff administering the roll packs.</w:t>
            </w:r>
          </w:p>
          <w:p w:rsidR="00EB7645" w:rsidRPr="00BE00C7" w:rsidP="00BE00C7">
            <w:pPr>
              <w:pStyle w:val="OutcomeDescription"/>
              <w:spacing w:before="120" w:after="120"/>
              <w:rPr>
                <w:rFonts w:cs="Arial"/>
                <w:b w:val="0"/>
                <w:lang w:eastAsia="en-NZ"/>
              </w:rPr>
            </w:pPr>
            <w:r w:rsidRPr="00BE00C7">
              <w:rPr>
                <w:rFonts w:cs="Arial"/>
                <w:b w:val="0"/>
                <w:lang w:eastAsia="en-NZ"/>
              </w:rPr>
              <w:t>(ii)  Three of ten medication charts did not document any allergy status.</w:t>
            </w:r>
          </w:p>
          <w:p w:rsidR="00EB7645" w:rsidRPr="00BE00C7" w:rsidP="00BE00C7">
            <w:pPr>
              <w:pStyle w:val="OutcomeDescription"/>
              <w:spacing w:before="120" w:after="120"/>
              <w:rPr>
                <w:rFonts w:cs="Arial"/>
                <w:b w:val="0"/>
                <w:lang w:eastAsia="en-NZ"/>
              </w:rPr>
            </w:pPr>
            <w:r w:rsidRPr="00BE00C7">
              <w:rPr>
                <w:rFonts w:cs="Arial"/>
                <w:b w:val="0"/>
                <w:lang w:eastAsia="en-NZ"/>
              </w:rPr>
              <w:t>(iii) The use of ‘as needed’ medication for two residents did not document the effectiveness of its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resident have a signed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medication charts record the allergy status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the outcome (effectiveness) of ‘as needed’ medication is recorded.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five resident files included a resident care plan.  Not all care plans reviewed had been individualised to their specific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rest home resident care plan did not reflect changes to care needs following an admission to hospital including; shortness of breath, legs swelling and risks associated with insulin medication.  Two dementia level resident care resident files did not reflect individualised care and support needs around behaviours that challenge.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reflect the individualised care needs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currently without an assigned activities’ person.  The manager had documented a basic activity plan for the service in the interim time until the new activity person commences during March.  During the audit caregivers were observed providing a basic level of activities for residents in the dementia unit and for the residents in the rest home.  Residents and family interviewed were happy with the current level of activities provided.  Not all residents had a personalised activity plan and there was no record of activities taking place or provided since December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no designated activities person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(ii) One resident in the dementia unit had no activities plan.</w:t>
            </w:r>
          </w:p>
          <w:p w:rsidR="00EB7645" w:rsidRPr="00BE00C7" w:rsidP="00BE00C7">
            <w:pPr>
              <w:pStyle w:val="OutcomeDescription"/>
              <w:spacing w:before="120" w:after="120"/>
              <w:rPr>
                <w:rFonts w:cs="Arial"/>
                <w:b w:val="0"/>
                <w:lang w:eastAsia="en-NZ"/>
              </w:rPr>
            </w:pPr>
            <w:r w:rsidRPr="00BE00C7">
              <w:rPr>
                <w:rFonts w:cs="Arial"/>
                <w:b w:val="0"/>
                <w:lang w:eastAsia="en-NZ"/>
              </w:rPr>
              <w:t>(iii) None of the five resident files reviewed documented any activities on the activity attendance sheet or though progress notes since December 2019.</w:t>
              <w:tab/>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an activity person is recruited.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residents have an individualised activity plan.</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 record of attendance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care plans reviewed all documented aspects of evaluation and changes to care when care needs changed.  However, this was not always consistently undertaken.  New residents have an initial care plan that should be evaluated at 21 days and updated, this had not occurred for one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rest home level resident files did not document evaluations of care and changes to care plans where the care need had changed.  This included one resident on return from hospital and one resident with changes to care needs as a result of skin care changes.  One dementia level resident had no evaluations of care as per Woodlands policy for the initial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care plans are evaluated when care needs change and according to policy and updated as needed.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Karaka Court Limited - Woodlands of Palmerston North</w:t>
    </w:r>
    <w:bookmarkEnd w:id="58"/>
    <w:r>
      <w:rPr>
        <w:rFonts w:cs="Arial"/>
        <w:sz w:val="16"/>
        <w:szCs w:val="20"/>
      </w:rPr>
      <w:tab/>
      <w:t xml:space="preserve">Date of Audit: </w:t>
    </w:r>
    <w:bookmarkStart w:id="59" w:name="AuditStartDate1"/>
    <w:r>
      <w:rPr>
        <w:rFonts w:cs="Arial"/>
        <w:sz w:val="16"/>
        <w:szCs w:val="20"/>
      </w:rPr>
      <w:t>19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