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Age Care Central Limited - Maryann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Age Care Central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Maryann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March 2020</w:t>
      </w:r>
      <w:bookmarkEnd w:id="7"/>
      <w:r w:rsidRPr="009418D4">
        <w:rPr>
          <w:rFonts w:cs="Arial"/>
        </w:rPr>
        <w:tab/>
        <w:t xml:space="preserve">End date: </w:t>
      </w:r>
      <w:bookmarkStart w:id="8" w:name="AuditEndDate"/>
      <w:r w:rsidR="00A4268A">
        <w:rPr>
          <w:rFonts w:cs="Arial"/>
        </w:rPr>
        <w:t>11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Maryann Rest Home and Hospital is certified to provide residential care for up to 48 residents. The facility is operated by Agecare Central Limited and is managed by a chief executive. Residents and families spoke positively about the care provided.</w:t>
      </w:r>
    </w:p>
    <w:p w:rsidRPr="00A4268A">
      <w:pPr>
        <w:spacing w:before="240" w:line="276" w:lineRule="auto"/>
        <w:rPr>
          <w:rFonts w:eastAsia="Calibri"/>
        </w:rPr>
      </w:pPr>
      <w:r w:rsidRPr="00A4268A">
        <w:rPr>
          <w:rFonts w:eastAsia="Calibri"/>
        </w:rPr>
        <w:t>This certification audit was undertaken to establish compliance with the Health and Disability Services Standards and the service’s contract with the District Health Board. The audit process included review of policies and procedures, review of residents’ and staff files, observations and interviews with residents, families, management, staff, a nurse practitioner and an allied health professional.</w:t>
      </w:r>
    </w:p>
    <w:p w:rsidRPr="00A4268A">
      <w:pPr>
        <w:spacing w:before="240" w:line="276" w:lineRule="auto"/>
        <w:rPr>
          <w:rFonts w:eastAsia="Calibri"/>
        </w:rPr>
      </w:pPr>
      <w:r w:rsidRPr="00A4268A">
        <w:rPr>
          <w:rFonts w:eastAsia="Calibri"/>
        </w:rPr>
        <w:t xml:space="preserve">Continuous improvement ratings have been awarded relating to the reduction of medication use and improved assessments by registered nurses resulting in reduced acute nurse practitioner visits and admissions to the local DHB hospital. </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Maryann Rest Home and Hospital.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nurse manager is responsible for the management of complaints and a complaints register is maintained. There have been no complaints received by the Health and Disability Commissioner’s office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Maryann Rest Home and Hospital is governed by a board of trustees who are responsible for the service provided. The business plan is currently under review. Quality and risk management systems are fully implemented at Maryann Rest Home and Hospital and include a mission statement, philosophy and goals. Systems are in place for monitoring the service, including regular reporting by the chief executive and the senior leadership team to the board.</w:t>
      </w:r>
    </w:p>
    <w:p w:rsidRPr="00A4268A">
      <w:pPr>
        <w:spacing w:before="240" w:line="276" w:lineRule="auto"/>
        <w:rPr>
          <w:rFonts w:eastAsia="Calibri"/>
        </w:rPr>
      </w:pPr>
      <w:r w:rsidRPr="00A4268A">
        <w:rPr>
          <w:rFonts w:eastAsia="Calibri"/>
        </w:rPr>
        <w:t>The facility is managed by a chief executive who has been in the role for two months. The chief executive is supported by a nurse manager, a clinical manager and a clinical coordinator. The nurse manager is responsible for the oversight of the clinical service in the facility.</w:t>
      </w:r>
    </w:p>
    <w:p w:rsidRPr="00A4268A">
      <w:pPr>
        <w:spacing w:before="240" w:line="276" w:lineRule="auto"/>
        <w:rPr>
          <w:rFonts w:eastAsia="Calibri"/>
        </w:rPr>
      </w:pPr>
      <w:r w:rsidRPr="00A4268A">
        <w:rPr>
          <w:rFonts w:eastAsia="Calibri"/>
        </w:rPr>
        <w:t>Quality and risk management systems are followed. There is an internal audit programme. Adverse events are documented electronically. Various staff, health and safety and resident meetings are held on a regular basis. The hazard register evidenced review and updating of risks and the addition of new risks.</w:t>
      </w:r>
    </w:p>
    <w:p w:rsidRPr="00A4268A">
      <w:pPr>
        <w:spacing w:before="240" w:line="276" w:lineRule="auto"/>
        <w:rPr>
          <w:rFonts w:eastAsia="Calibri"/>
        </w:rPr>
      </w:pPr>
      <w:r w:rsidRPr="00A4268A">
        <w:rPr>
          <w:rFonts w:eastAsia="Calibri"/>
        </w:rPr>
        <w:t xml:space="preserve">Policies and procedures on human resources management are in place and processes are followed. An in-service education programme is provided and staff performance is monitored. </w:t>
      </w:r>
    </w:p>
    <w:p w:rsidRPr="00A4268A">
      <w:pPr>
        <w:spacing w:before="240" w:line="276" w:lineRule="auto"/>
        <w:rPr>
          <w:rFonts w:eastAsia="Calibri"/>
        </w:rPr>
      </w:pPr>
      <w:r w:rsidRPr="00A4268A">
        <w:rPr>
          <w:rFonts w:eastAsia="Calibri"/>
        </w:rPr>
        <w:t xml:space="preserve">The documented rationale for determining staffing levels and skill mixes is based on best practice.  Registered nurses are always rostered on duty. The senior leadership team are on call after hours.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hard copy and electronic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electronically generated care reports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the family members of residents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an activities assistant and provides residents with a variety of individual and group activities and maintains their links with the community. Two facility vans are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A preventative and reactive maintenance programme includes equipment and electrical checks. </w:t>
      </w:r>
    </w:p>
    <w:p w:rsidRPr="00A4268A">
      <w:pPr>
        <w:spacing w:before="240" w:line="276" w:lineRule="auto"/>
        <w:rPr>
          <w:rFonts w:eastAsia="Calibri"/>
        </w:rPr>
      </w:pPr>
      <w:r w:rsidRPr="00A4268A">
        <w:rPr>
          <w:rFonts w:eastAsia="Calibri"/>
        </w:rPr>
        <w:t>Residents’ bedrooms provide single accommodation with adequate personal space provided. Lounges, dining areas and alcoves are available.  External areas for sitting and shading are provided. An appropriate call bell system is available and security and emergency systems are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restraints and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Taranaki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0"/>
        <w:gridCol w:w="1280"/>
        <w:gridCol w:w="91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Maryann Rest Home and Hospital (Maryann)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All residents’ files reviewed in the secure unit had an activated enduring power of attorney (EPOA) or a Court appointed welfare guardian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resident’s family members are given a copy of the Code, which also includes information on the Advocacy Service. Brochures on the Advocacy Service were displayed and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complaints information available at the main entrances.  Six complaints have been received since the last audit and have been entered into the complaints register. Two complaints were reviewed and actions taken were documented and completed within the timeframes specified in the Code.  Action plans reviewed evidenced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(NM) is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 investigations by external agencies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reported being made aware of the Code and the Nationwide Health and Disability Advocacy Service (Advocacy Service) as part of the admission information provided and discussion with staff. The Code is displayed in common areas together with information brochures on the advocacy services and how to make a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residents’ information is held securely and privately, exchanging verbal information and during discussion with families, the nurse practitioner (NP)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and several staff members at Maryann at the time of audit who identified as Māori. Interviews verified staff can support residents and staff who identify as Māori to integrate their cultural values and beliefs. The principles of the Treaty of Waitangi are incorporated into day to day practice, as is the importance of whānau to Māori residents. There is a current Māori Health Plan developed which draws on the priorities set by the National Maori Health Strategy and the Taranaki District Health Boards (TDHB) Maori Health Strategy. One of Maryann’s board members identifies as Maori and provides a direct link to the local iwi and to cultural advisors.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 verified that residents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nurse practitioner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clinical nurse specialist, nurse practitioner, clinical nurse specialist from TDHB, psycho-geriatrician and mental health services for older persons, and education of staff. The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access external education, in-service training sessions and online learning hubs,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a commitment to ongoing improvement in the care provided, evidenced by ongoing initiatives aimed at addressing the number of staff injuries and a reduction in the number of resident falls. An initiative aimed at reducing the number of medications some residents were taking, is an area recognised as one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Maryann and their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TDHB when required. Staff reported interpreter services were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trust board is made up of seven trustees with various backgrounds. The business plan, currently under review includes a philosophy and mission statement and sets out the goals that are reviewed by the board. The philosophy and mission statement are in an understandable form and are displayed throughout the facility. An organisational and reporting chart sets out the structure of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(CE), nurse manager (NM) and financial manager (FM) present reports at the two monthly board meetings. Review of the reports and interview of the CE confirmed this. The senior leadership team meet weekly to discuss a variety of activities relating to provision of services at Maryann. Interview of the CE and review of meeting minutes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chief executive (CE) who has been in the position for two months. Prior to this role they were the service supervisor for seven years and continue to be responsible for the service. The CE reported being familiar with the role as they have worked closely with the outgoing CE. The CE reported they are booked to attend two management courses and attends the three-monthly leadership forums provided by the local DHB. The CE attended an Aged Care Association forum in February 2020. The CE also manages the organisation’s sister facility two kilometres away and reported they visit three days per week and have frequent contact with staff.</w:t>
            </w:r>
          </w:p>
          <w:p w:rsidR="00EB7645" w:rsidRPr="00BE00C7" w:rsidP="00BE00C7">
            <w:pPr>
              <w:pStyle w:val="OutcomeDescription"/>
              <w:spacing w:before="120" w:after="120"/>
              <w:rPr>
                <w:rFonts w:cs="Arial"/>
                <w:b w:val="0"/>
                <w:lang w:eastAsia="en-NZ"/>
              </w:rPr>
            </w:pPr>
            <w:r w:rsidRPr="00BE00C7">
              <w:rPr>
                <w:rFonts w:cs="Arial"/>
                <w:b w:val="0"/>
                <w:lang w:eastAsia="en-NZ"/>
              </w:rPr>
              <w:t>The management of clinical services is the responsibility of the nurse manager (NM) who has been in their role full time since January 2020.  Prior to this, the NM job shared with another nurse manager. The annual practising certificate for the nurse manager is current.  There was evidence in the NM’s file of attending forums and conferences to keep up to date. The NM along with the clinical coordinator are also responsible for clinical oversight for the sister facility near-by. Documentation evidenced the change in CE and the NM to a fulltime role has been notified to HealthCERT.</w:t>
            </w:r>
          </w:p>
          <w:p w:rsidR="00EB7645" w:rsidRPr="00BE00C7" w:rsidP="00BE00C7">
            <w:pPr>
              <w:pStyle w:val="OutcomeDescription"/>
              <w:spacing w:before="120" w:after="120"/>
              <w:rPr>
                <w:rFonts w:cs="Arial"/>
                <w:b w:val="0"/>
                <w:lang w:eastAsia="en-NZ"/>
              </w:rPr>
            </w:pPr>
            <w:r w:rsidRPr="00BE00C7">
              <w:rPr>
                <w:rFonts w:cs="Arial"/>
                <w:b w:val="0"/>
                <w:lang w:eastAsia="en-NZ"/>
              </w:rPr>
              <w:t>Maryann has a contract with the DHB for aged related residential care. The forty-six residents were under this contract (9 RH level residents including one younger person with a disability (YPD) resident, 22 hospital level including two YPD and 15 dementia care residents including one YPD). There were no residents under the  long-term support-chronic health conditions or the residential respite services contacts.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48 beds, two have been approved as dual purpose and are situated between the hospital area and the dementia unit. Currently the beds are occupied by hospital level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CE reported when they are temporarily absent, the FM fills the role. When the NM is temporarily absent the clinical coordinator fills in. Support is provided by the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systems are well embedded at Maryann. Service delivery is linked to quality and risk throughout a number of documents including health and safety, clinical, incident and accidents and infection control. Quality and risk is managed via the senior leadership team, RNs and the health and safety meetings.  Resident, health and safety, RNs, health care assistants and other staff meetings are held regularly and evidenced good reporting of clinical indicators, any trends and discussions around corrective actions.  Meeting minutes reviewed were comprehensive with names of people responsible for any corrective actions, timeframes for completion and sign off. Any unfinished business is brought forward to the following meeting.</w:t>
            </w:r>
          </w:p>
          <w:p w:rsidR="00EB7645" w:rsidRPr="00BE00C7" w:rsidP="00BE00C7">
            <w:pPr>
              <w:pStyle w:val="OutcomeDescription"/>
              <w:spacing w:before="120" w:after="120"/>
              <w:rPr>
                <w:rFonts w:cs="Arial"/>
                <w:b w:val="0"/>
                <w:lang w:eastAsia="en-NZ"/>
              </w:rPr>
            </w:pPr>
            <w:r w:rsidRPr="00BE00C7">
              <w:rPr>
                <w:rFonts w:cs="Arial"/>
                <w:b w:val="0"/>
                <w:lang w:eastAsia="en-NZ"/>
              </w:rPr>
              <w:t>The audit programme for 2019 and 2020 and completed audits were reviewed. Resident and family surveys for 2020 evidenced satisfaction with the service provided. Interviews of residents and families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entered electronically. Data is collated and analysed to identify any trends. Corrective actions are developed and implemented for deficits identified. Various graphs showing quality data trends are generated month by month.</w:t>
            </w:r>
          </w:p>
          <w:p w:rsidR="00EB7645" w:rsidRPr="00BE00C7" w:rsidP="00BE00C7">
            <w:pPr>
              <w:pStyle w:val="OutcomeDescription"/>
              <w:spacing w:before="120" w:after="120"/>
              <w:rPr>
                <w:rFonts w:cs="Arial"/>
                <w:b w:val="0"/>
                <w:lang w:eastAsia="en-NZ"/>
              </w:rPr>
            </w:pPr>
            <w:r w:rsidRPr="00BE00C7">
              <w:rPr>
                <w:rFonts w:cs="Arial"/>
                <w:b w:val="0"/>
                <w:lang w:eastAsia="en-NZ"/>
              </w:rPr>
              <w:t>All documents are controlled. They are relevant to the scope and complexity of the service, reflected current accepted good practice, and reference legislative requirements. Footers show the currency of review. Staff receive alerts electronically and are encouraged to make comments while documents are in draft. Obsolete documents are archived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and documented in the hazard register, including risks associated with human resources management, legislative compliance, contractual risks and clinical risk and showed the actions put in place to minimise or eliminate risks. Newly found hazards are communicated to staff and residents as appropriate. Staff confirmed they understood what constituted a hazard and the process around reporting and documenting.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unplanned or untoward events electronically.  The CE and NM review and sign off following corrective actions developed and implemented.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condition. Families interviewed confirmed they were confident of being advised in a timely manner, as need be,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confirmed this.  Policy and procedures comply with essential notification reporting.  The CE advised there has been two essential notifications made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included job descriptions which outline accountability, responsibilities and authority, employment agreements, references, completed orientation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An orientation programme is provided. New health care assistants (HCA) are supported by a senior HCA who works alongside them as an initial ‘buddy’ and undertakes reviews of the HCAs progress. The NM and CC are responsible for the orientation of new RNs. Orientation for staff covers all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In-service education is provided for staff at least monthly and the programme covers all required topics. Documentation evidenced good attendance at all sessions. Specific topics relating to resident’s health status is discussed at handover and during staff meetings. Outside educators take sessions and RNs attend sessions at the local DHB. Competencies were current including for medication management and restraint. Of the six RNs, four are interRAI trained and have current competencies. There is at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(Careerforce) is available for staff to complete and they are encouraged to do so. An external assessor is used, and HCAs have attained level two, three and four. All HCAs working in the dementia unit have completed the dementia specific modules. All staff have completed at least eight hours of ongoing training annually.</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Staffing levels are reviewed constantly to meet the changing needs of residents and the layout of the physical environment. The senior leadership team are on call and staff make contact through a dedicated after-hours phone number. Care staff reported there is adequate staff available to complete the work allocated to them. Residents and families interviewed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rosters confirmed adequate staff cover was provided, with staff replaced in any unplanned absence. The NM reported that, should there be a need, part time staff cover extra hours and there is a pool of casual staff as well to call on. Staff who have a current first aid certificate are identified on the rosters. The senior managers are all experienced RNs and the six RNs on the floor have all prior aged care experience ranging from seven to 32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NP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For the past three years, resident information has been collected and stored electronically.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Maryann when they have been assessed and confirmed by the local Needs Assessment and Service Coordination (NASC) Service, as requiring the care services provided by Maryann. Prospective residents and/or their families are encouraged to visit the facility prior to admission and meet with the nurse manager (NM), clinical co-ordinator (CC) or the clinical manager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Files of residents in the secure unit included a specialists referral authorising the provision of services and EPOA consent.</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TDHB’s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by an RN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Evidence is sighted of a reduction in the use of antipsychotics in residents in the secure unit, and ongoing monitoring and review of their use. (Refer 1.3.3.4)</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electronic signature and date recorded on the commencement and discontinuation of medicines and all requirements for pro re nata (PRN) medicines met. The required three-monthly GP or NP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were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NM, CC, CM or RN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by Maryann.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July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was in place and registered with the Stratford District Council. A verification audit was undertaken 11 February 2020. No areas were identified as requiring corrective action.</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has access to food anytime night or day, as verified by observation, interviews and documentation.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CC.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Maryann are initially assessed using a range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For residents where the interRAI assessment tool is not the required tool of assessment, a range of clinical assessment tools are used to inform care planning. These are reviewed six monthly or as residents’ needs change. Behaviour assessments were sighted in the files reviewed of residents in the secure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 nine of eleven files reviewed the interRAI assessment was completed within three weeks of admission and at least every six months unless the resident’s condition changed. Interviews, documentation and observation verified the RNs were familiar with requirements for reassessment of a resident using the interRAI assessment tool. </w:t>
              <w:br/>
              <w:br/>
              <w:t>Seven of eleven residents reviewed have current interRAI assessments completed by four trained interRAI assessors on site (Refer 1.3.3). InterRAI assessments are used to inform the care plan of these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with identified triggers were sighted in the care plans of residents in the secure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and an activities assistant. Activities are provided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Residents in the secure unit have a 24-hour activity plan in place</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exercise sessions, daily walks, interaction with other care homes, interaction with visiting children’s groups, men’s shed, outings, picnics, beach buggy rides, visiting entertainers, quiz sessions and daily news updates. Activities for residents under 65 years, focus on assisting them to maintain previous lifestyle patterns. The activities programme is discussed at the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sighted and evidenced consistent reviews for infections, pain, and weight loss with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NP or RN sends a referral to seek specialist input. Copies of referrals were sighted in residents’ files, including to older persons’ mental health services. Referrals are followed up on a regular basis by the RN, NP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were in place. Policies and procedures specify labelling requirements in line with legislation.  Material safety data sheets are throughout the facility and accessible for staff. The company representative that supplies chemicals, visits regularly and provides training. Education to ensure safe and appropriate handling of waste and hazardous substances has been provided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was protective clothing and equipment appropriate to recognised risks and was sighted in the sluice rooms and the laundry and were being used by staff. Staff demonstrated a sound knowledge of the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was displayed at the main entrance. There were appropriate systems in place to ensure the residents’ physical environment and facilities are fit for purpose. Residents and families stated they can move freely around the facility and that the accommodation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A proactive maintenance programme is in place and a reactive maintenance book for staff to enter any maintenance required has corrective actions completed and sign off.  Plant and equipment are maintained to an adequate standard. Testing and tagging of equipment and calibration of biomedical equipment was current. Hot water temperatures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know the processes they should follow if any repairs/maintenance are required and that requests are appropriately actioned.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safely maintained and are appropriate to the resident groups and setting. All ramps have safety railing provided. The environment was conducive to the range of activities undertaken in the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bedrooms have a full ensuite and all rooms have a wash hand basin. There are adequate numbers of communal bathrooms and toilets throughout the facility. Residents reported that there are enough toilets and they are easy to access with vacant/engaged signage.</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and other equipment is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provide single accommodation with a mix of sizes. There is adequate personal space provided for residents and staff to move around safely within the bedrooms. Residents and families spoke positively about their or their relative’s accommodation. Rooms are personalised with furnishings, photos and other personal adornments.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mobility scooters and wheelchairs for those residents who require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areas for residents and families to frequent for activities, dining, relaxing and for privacy. The areas are easily accessed by residents and staff.  Residents and families confirmed this. Furniture is appropriate to the settings and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laundry is washed on site. All other laundry is supplied and laundered by an external company. Residents and families reported the laundry is managed well and residents’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Cleaners and laundry staff have received appropriate education and demonstrated a sound knowledge of processes. The facility is cleaned to a satisfactory standard and residents, families and the results from the 2020 satisfaction survey confirmed this. Chemicals were stored securely with a closed system used. All chemicals were in appropriately labelled containers. Cleaning and laundry processes are monitored through the internal audit programme and by personnel from the external company that supplies the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were in place for essential, emergency and security services and considers the needs of residents with dementia. External lights are positioned around the facility. The front entrance doors automatically lock in the evenings and staff secure the other external doors. Staff carry out security checks.</w:t>
            </w:r>
          </w:p>
          <w:p w:rsidR="00EB7645" w:rsidRPr="00BE00C7" w:rsidP="00BE00C7">
            <w:pPr>
              <w:pStyle w:val="OutcomeDescription"/>
              <w:spacing w:before="120" w:after="120"/>
              <w:rPr>
                <w:rFonts w:cs="Arial"/>
                <w:b w:val="0"/>
                <w:lang w:eastAsia="en-NZ"/>
              </w:rPr>
            </w:pPr>
            <w:r w:rsidRPr="00BE00C7">
              <w:rPr>
                <w:rFonts w:cs="Arial"/>
                <w:b w:val="0"/>
                <w:lang w:eastAsia="en-NZ"/>
              </w:rPr>
              <w:t>A New Zealand Fire Service letter approving the fire evacuation scheme was sighted. Trial evacuations are held at least six monthly and staff have received on-going training. At least one staff member is on each shift who has a current first aid certificate. Review of staff education spread sheets and rosters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service providers and residents. Emergency supplies and equipment are checked six monthly by the maintenance person and good stocks of supplies were sighted. Emergency supplies and equipment included lighting, torches, gas for cooking, extra food supplies, emergency water supplies that meet the Ministry of Civil Defence and Emergency Management recommendations for the region, and blankets, cell phones and battery powered emergency lighting.</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that is used by the residents or staff to summon assistance if required and is appropriate to the resident groups and settings. Call bells are accessible/within reach and were available in resident areas. Residents confirmed they have a call bell system in place which is accessible, and staff respond to them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heated by ducted gas and bedrooms have individual outlet vents. Procedures are in place to ensure the service is responsive to resident feedback in relation to heating and ventilation, wherever practicable. Residents and families confirmed the facility is maintained at an appropriate temperature.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covered area outside the building is available for smokers.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Maryann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NM, CC, CM and the infection control co-ordinator.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infection control coordinator (ICC), whose role and responsibilities were defined in a job description. Infection control matters, including surveillance results, were reported monthly to the NM, CC and CM and tabled at the quality/risk meeting. Infection control statistics are entered in the organisation’s electronic database. The organisations NM and Chief Executive Officer (CEO)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has been overseas to countries with COVID-19 or in contact with people who have been in countries with COVID-19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has undertaken training in infection prevention and control and attended relevant study days, as verified in training records sighted. Well-established local networks with the infection control team at the DHB are available and expert advice from an external advisory service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ICC.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NM, CC and CM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t>
            </w:r>
          </w:p>
          <w:p w:rsidR="00EB7645" w:rsidRPr="00BE00C7" w:rsidP="00BE00C7">
            <w:pPr>
              <w:pStyle w:val="OutcomeDescription"/>
              <w:spacing w:before="120" w:after="120"/>
              <w:rPr>
                <w:rFonts w:cs="Arial"/>
                <w:b w:val="0"/>
                <w:lang w:eastAsia="en-NZ"/>
              </w:rPr>
            </w:pPr>
            <w:r w:rsidRPr="00BE00C7">
              <w:rPr>
                <w:rFonts w:cs="Arial"/>
                <w:b w:val="0"/>
                <w:lang w:eastAsia="en-NZ"/>
              </w:rPr>
              <w:t>A 2019 analysis of infection data identified an increase rate of upper respiratory tract (URTI) infections in May and July despite a good uptake of the flu injection. It was noted 30 residents who had the flu injection still had an URTI, while 11 residents who had URTI had not had the flu injection.</w:t>
            </w:r>
          </w:p>
          <w:p w:rsidR="00EB7645" w:rsidRPr="00BE00C7" w:rsidP="00BE00C7">
            <w:pPr>
              <w:pStyle w:val="OutcomeDescription"/>
              <w:spacing w:before="120" w:after="120"/>
              <w:rPr>
                <w:rFonts w:cs="Arial"/>
                <w:b w:val="0"/>
                <w:lang w:eastAsia="en-NZ"/>
              </w:rPr>
            </w:pPr>
            <w:r w:rsidRPr="00BE00C7">
              <w:rPr>
                <w:rFonts w:cs="Arial"/>
                <w:b w:val="0"/>
                <w:lang w:eastAsia="en-NZ"/>
              </w:rPr>
              <w:t>There’s been no norovirus outbreaks at Maryann in the past eighteen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demonstrated that the use of restraint is actively minimised. Equipment used included sensor and landing mats and low beds. There were four residents using restraint and two residents using an enabler during the audit. The CE and NM stated the aim was to have no restraint use in the facility. The restraint coordinator demonstrated good knowledge relating to restraint minimisation. The restraint/enabler register was current. Policies and procedures have definitions of restraints and enablers. Staff demonstrated good knowledge about restraints and enablers and knew the difference between the two.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forms part of the RN meetings. Restraint is also an agenda item at the HCA meetings. Meeting minutes and staff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approved by an RN, the resident’s family and GP prior to commencing the restraint. The GP completes three-monthly reviews of restraints in use. A signed job description for the restraint coordinator was evident on file and in the restraint folder. Responsibilities of the restraint coordinator and approval group are clearly outlined.</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discussed in the RN, HCA and health and safety meetings. Staff confirmed their knowledge of the restraint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files of residents using restraint and enablers were reviewed. Restraint assessment plans were comprehensive and were completed prior to commencing restraint. Risk factors were identified in the assessment and the purpose of the chosen restraint was documented. Long term care plans clearly documented any risk and desired outcomes. Staff demonstrated good knowledge in maintaining culturally safe practice when completing assessments for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are accessible for all staff to read. Safe use of restraint is actively promoted. There was a current and updated restraint/enabler register. Monitoring forms were completed electronically and included any risk factors and ensured the resident’s safety while using restraint.  Staff demonstrated good knowledge about restraints and strategies to promote residents’ safety while using restraint. There were no restraint-related injuries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using restraints and enablers are evaluated at least six-monthly in line with the resident’s care plan. The evaluation form included the effectiveness of the restraint and the risks documented in the long-term care plans. Staff confirmed their feedback was obtained by the restraint coordinator when evaluating the restraint in use. The restraint approval group/RNs evaluated the restraints in use at least monthly.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monitored and reviewed at the RN meetings. Restraint is also monitored through the internal audit programme, six monthly. Identified issues are discussed at the RN, health and safety and HCA meetings with additional education to support staff if needed. Staff demonstrated sound knowledge relating to managing challenging behaviours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9829"/>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teams attended a study day on polypharmacy and the effects of polypharmacy on residents. Following this, six residents who were identified as being at high risk of falling, who were observed to be sleeping a lot during the day, eating and drinking minimal amounts and participating very little in ongoing activities were reviewed in relation to polypharmacy. All residents were noted to be receiving a high number of pharmaceuticals. The NP in conjunction with the resident and family members agreed to do a review of each resident’s medications. Residents were supported by the expertise of the older persons’ mental health team when reviewing antipsychotic medications. Over a six-month time frame, gradual changes were made, with some medications being stopped, doses reduced or changed. All six residents have improved, with a reduction in falls, increased alertness and responsiveness, and increased quality of life. Family members of residents interviewed expressed a high degree of satisfaction with the improvement in their family member since being cared for at Maryann. Medication reviews remain ongoing.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reduction in the use of medication by six residents has resulted in a reduction in falls, increased alertness during the day and improvements in quality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June 2019 a review of the number of requests for acute GP visits to Maryann and acute transfers to the TDHB, identified 40 acute GP visits. Of these 40 visits, 16 did not require medical intervention, and one of the three residents transferred to the TDHB was returned after no medical input was required. The identified cause was related to lack of confidence and assessment skills by the RNs, most of whom were from overseas and not well equipped to work independently and without onsite GP support. Concerns were discussed with the NP and the NP was contracted to work with the RNs educating them around assessment skills, critical thinking and clinical decision making. The NP implemented the ‘frailty care guide” and ‘SBAR’ tool to aid the RNs in assessment. Training was extended to include the healthcare assistants, to ensure improved knowledge around the need to escalate situations and seek additional assistance.</w:t>
            </w:r>
          </w:p>
          <w:p w:rsidR="00EB7645" w:rsidRPr="00BE00C7" w:rsidP="00BE00C7">
            <w:pPr>
              <w:pStyle w:val="OutcomeDescription"/>
              <w:spacing w:before="120" w:after="120"/>
              <w:rPr>
                <w:rFonts w:cs="Arial"/>
                <w:b w:val="0"/>
                <w:lang w:eastAsia="en-NZ"/>
              </w:rPr>
            </w:pPr>
            <w:r w:rsidRPr="00BE00C7">
              <w:rPr>
                <w:rFonts w:cs="Arial"/>
                <w:b w:val="0"/>
                <w:lang w:eastAsia="en-NZ"/>
              </w:rPr>
              <w:t>A review in November 2019, showed a reduction in GP/NP visits by 55%, and TDHB admissions by 66%. The 26 acute visits and one admission to the TDHB all required medical intervention. The NP expressed a high level of satisfaction with staff’s commitment to compliance with meeting the assessment guidelines in ‘the frailty care guide’ and staff’s openness to learning. The NP has evidenced an improvement in ongoing nursing assessment at Maryann.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Improved nursing assessment has resulted in a decrease in acute visits by the GP/NP and a reduction in unnecessary transfers to the TDHB.</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Age Care Central Limited - Maryann Rest Home and Hospital</w:t>
    </w:r>
    <w:bookmarkEnd w:id="58"/>
    <w:r>
      <w:rPr>
        <w:rFonts w:cs="Arial"/>
        <w:sz w:val="16"/>
        <w:szCs w:val="20"/>
      </w:rPr>
      <w:tab/>
      <w:t xml:space="preserve">Date of Audit: </w:t>
    </w:r>
    <w:bookmarkStart w:id="59" w:name="AuditStartDate1"/>
    <w:r>
      <w:rPr>
        <w:rFonts w:cs="Arial"/>
        <w:sz w:val="16"/>
        <w:szCs w:val="20"/>
      </w:rPr>
      <w:t>10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