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Fendalton Lifecare (2006) Limited - Fendalton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Fendalton Lifecare (2006)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Fendalton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February 2020</w:t>
      </w:r>
      <w:bookmarkEnd w:id="7"/>
      <w:r w:rsidRPr="009418D4">
        <w:rPr>
          <w:rFonts w:cs="Arial"/>
        </w:rPr>
        <w:tab/>
        <w:t xml:space="preserve">End date: </w:t>
      </w:r>
      <w:bookmarkStart w:id="8" w:name="AuditEndDate"/>
      <w:r w:rsidR="00A4268A">
        <w:rPr>
          <w:rFonts w:cs="Arial"/>
        </w:rPr>
        <w:t>20 February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Fendalton Retirement Village is privately owned and provides rest home level care for up to 35 residents in the care centre and up to 14 rest home residents in the serviced studio apartment units.  On the day of the audit there were 26 residents including three rest home residents in the serviced studio apartments.  </w:t>
      </w:r>
    </w:p>
    <w:p w:rsidRPr="00A4268A">
      <w:pPr>
        <w:spacing w:before="240" w:line="276" w:lineRule="auto"/>
        <w:rPr>
          <w:rFonts w:eastAsia="Calibri"/>
        </w:rPr>
      </w:pPr>
      <w:r w:rsidRPr="00A4268A">
        <w:rPr>
          <w:rFonts w:eastAsia="Calibri"/>
        </w:rPr>
        <w:t>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relatives, staff, the GP and management.</w:t>
      </w:r>
    </w:p>
    <w:p w:rsidRPr="00A4268A">
      <w:pPr>
        <w:spacing w:before="240" w:line="276" w:lineRule="auto"/>
        <w:rPr>
          <w:rFonts w:eastAsia="Calibri"/>
        </w:rPr>
      </w:pPr>
      <w:r w:rsidRPr="00A4268A">
        <w:rPr>
          <w:rFonts w:eastAsia="Calibri"/>
        </w:rPr>
        <w:t>The unit manager (registered nurse) has been in her role since March 2019 and has experience in management and age care.  She is supported by the general manager, the management team from Elmswood Retirement Village (sister facility) and experienced long-serving staff.  Residents and relatives interviewed were very complimentary of the services and care provided</w:t>
      </w:r>
    </w:p>
    <w:p w:rsidRPr="00A4268A">
      <w:pPr>
        <w:spacing w:before="240" w:line="276" w:lineRule="auto"/>
        <w:rPr>
          <w:rFonts w:eastAsia="Calibri"/>
        </w:rPr>
      </w:pPr>
      <w:r w:rsidRPr="00A4268A">
        <w:rPr>
          <w:rFonts w:eastAsia="Calibri"/>
        </w:rPr>
        <w:t>This audit identified an area for improvement around medication room temperatures.</w:t>
      </w:r>
    </w:p>
    <w:p w:rsidRPr="00A4268A">
      <w:pPr>
        <w:spacing w:before="240" w:line="276" w:lineRule="auto"/>
        <w:rPr>
          <w:rFonts w:eastAsia="Calibri"/>
        </w:rPr>
      </w:pPr>
      <w:r w:rsidRPr="00A4268A">
        <w:rPr>
          <w:rFonts w:eastAsia="Calibri"/>
        </w:rPr>
        <w:t>The service continues to monitor infection rates from the previously awarded continuous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A policy on open disclosure is in place.  There is evidence that residents and relatives are kept informed.  The rights of the resident and/or their family to make a complaint is understood, respected and upheld by the service.  A system for managing complaints is in place.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unit manager is responsible for the day-to-day operations.  A quality and risk management programme for 2020 is in draft form.  The 2019 programme has been reviewed.  Quality data and goals have been discussed at meetings.  The risk management programme includes managing adverse events and health and safety processes. </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An orientation programme is in place for new staff.  Ongoing education and training for the 2020 programme has been implemented, which includes in-service education and competency assessments.  Residents, relatives and staff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unit manager is responsible for care plan documentation.  InterRAI assessments and care plans are completed within required timeframes.  Planned activities are appropriate to the resident’s assessed needs and abilities.  Residents and relatives commented positively around the activities programme.  The service uses an electronic medication management system.  Food, fluid and nutritional needs of residents are provided in line with recognised nutritional guidelines and additional requirements/modified needs were being met.  Residents were complimentary of the food services.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Fendalton has a current building warrant of fitness and reactive and preventative maintenance occurs.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Fendalton has restraint minimisation and safe practice policies and procedures in place.  Staff receive training in restraint minimisation and challenging behaviour management.  The service currently has no residents requiring restraint 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unit manager is responsible for infection control at Fendalton Retirement Village.  Information obtained through surveillance is used to determine infection control activities and education needs within the facility.  Infection control issues are discussed at both in the infection control and quality/staff meetings.  The infection control programme is linked with the quality programme.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80"/>
        <w:gridCol w:w="1280"/>
        <w:gridCol w:w="103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forms are available throughout the facility.  Information around the complaints process is provided on admission.  A record of all complaints, both verbal and written is maintained by the unit manager on the complaints register.  There have been no complaints received since the last audit.  Documentation and correspondence of previous complaints reflected evidence of responding to the complaints in a timely manner with appropriate follow-up actions taken.  Healthcare assistants interviewed confirmed that complaints/concerns and any required follow-up is discussed at staff meetings.  Residents and the relative advised that they are aware of the complaints procedure and how to access forms and would feel comfortable talking to the unit manager if they had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information is provided at entry to residents and family/whānau.  Five residents interviewed stated that they were welcomed on entry and were given time and explanation about the services and procedures.  The unit manager is available to residents and relatives and promotes an open-door policy.  Incident forms reviewed for January and February 2020 evidenced that relatives had been notified on all occasions.  The relative interviewed advised that they are notified of incidents and when residents’ health status changes promptly.  The three healthcare assistants (HCAs), one diversional therapist, one activities assistant, one cook and the maintenance man interviewed fluently described instances where relatives would be notified.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Fendalton Retirement Village provides care for up to 35 rest home residents in the care facility, and there are 14 serviced studio apartments certified for rest home level of care.  On the day of audit there were 26 residents in the rest home, and three rest home residents in the serviced studio apartments.  All residents were under the age-related residential care services agreement (ARCC).  There were a further six residents from Elmswood Retirement Village serviced apartments residing at Fendalton temporarily (not requiring rest home care) while their apartments are refurbished.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Fendalton Retirement Village is privately owned by a company of three directors, one of whom is the general manager across two facilities (Fendalton rest home and Elmswood rest home and hospital) owned by the company.  Currently there are eight shareholders, directors meet four times a year and have an annual general meeting.  The managing director (general manager) is non-clinical and has been in the aged care industry for a number of years.  Clinical governance is provided by a contracted quality/risk consultant/registered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2019-2020 quality goals have been reviewed which included (but not limited to); improving staff wellbeing, sharing events with the Elmswood facility, and reviewing the emergency preparedness plan.  These have been reviewed regularly throughout the year and have been achieved.  The 2020-2021 plan remains in draft and has goals to continue to maintain low infection rates and incident rates, reviewing the satisfaction survey templates and continuing to build community engagement.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is supported by an enrolled nurse.  They are supported by the wider management team including; the general manager, the Elmswood facility manager, who has overall responsibility for clinical operations of both Fendalton and Elmswood facilities, Elmswood clinical manager and the Elmswood management team.  There are regular meetings with the combined management teams.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has attended at least eight hours of education within the last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2019 quality plan has been reviewed and goals achieved.  The 2020 quality plan was in draft form on the day of the audit.  Quality management systems are linked to internal audits, incident and accident reporting, health and safety reporting, infection control data, surveys and complaints management.  Data collected is analysed and compared monthly and annually for a range of adverse event data.  Where improvements are identified, corrective actions are developed, implemented and regularly evaluated.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from all meetings are discussed at the monthly quality/staff meeting.  Meeting minutes evidenced quality data, trends and analysis including areas for improvement around infections, accidents and incidents, health and safety, restraints/enablers, concerns/complaints, internal audit outcomes and quality goals.  Information is shared with all staff as confirmed in meeting minutes and during interviews.  Benchmarking occurs against NZ industry standards.  Staff receive a bi-monthly newsletter that includes quality data and statistics for infection control and accidents/incidents.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consultant completes a six-monthly summary of internal audits with corrective actions which are implemented by the relevant person.  Additional facility audits are included in the programme as per corrective action planning.  Corrective actions sighted, had been completed and closed out as documented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resident/relative satisfaction surveys have been completed which identified 100% positive results around care and support (same as 2018), lower satisfaction was identified around the activities, corrective action plans are in place including the introduction of activities meetings and a more in-depth discussion with residents around activities at the resident meetings.  In the 2018 survey, 62% of residents’ answers exceeded or greatly exceeded expectations, this increased to 84% in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relatives survey identified improvement in laundry services with 63% satisfaction in 2017, 83% in 2018 and 83% in 2019.  Food services improved from 87% in 2018 to 100% in 2019.  Areas for improvement were identified around cleaning, a corrective action including education and training, a review of schedules and regular “spot” internal audits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risk management plan in place.  There is a monthly health and safety meeting which includes infection control and restraint on a bi-monthly basis, this is chaired by the unit manager.  The committee includes a representative from all areas of the facility that meet monthly.  Staff can attend and provide input into health and safety.  A report is forwarded to the combined quality/staff meeting.  One committee member (interviewed) has completed level three of health and safety training, and reports members of the committee have completed training or are in the process of completing training.  Staff receive health and safety training during orientation and ongoing training is provided.  Contractors complete a health and safety induction.  Actual and potential risks are documented on the hazard register (last updated in January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for residents are assessed on an individual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Fendalton Retirement Village collects incident and accident data and reports aggregated figures monthly to the quality meeting.  Incident forms are completed by HCAs, the resident is reviewed by the RN or the care lead at the time of event and the form is forwarded to the unit manager for final sign off.  Ten electronic incident forms reviewed identified registered nurse follow up.  There is an incident reporting policy to guide staff in their responsibility around open disclosure.  Incident/accident forms include a section to record relatives have been notified.  Minutes of the combined quality/staff meetings reflect a discussion of incident statistics and analysis.  The caregivers interviewed could discuss the incident reporting.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unit manager confirmed that there is an awareness of the requirement to notify relevant authorities in relation to essential notifications.  There have been three notifications (two in 2018 and one in 2019) made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practising certificates is maintained.  Five staff files were reviewed (one cook, one diversional therapist one team leader, and two HCAs).  All had relevant documentation relating to employment, and current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orientation programme includes documented competencies and orientation checklists (sighted in files).  Staff interviewed were able to describe the orientation process and reported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education plan that is being implemented that covers all contractual education topics and exceeds eight hours annually.  Interviews with caregivers confirmed participation in the Careerforce training programme.  A competency programme is in place that includes annual infection control, manual handling, medication administration and second checker competency for staff administering medications.  Competency questionnaires were sighted in reviewed files.  The unit manager is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unit manager/RN works full-time Monday to Friday.  Residents, relatives and staff interviewed stated there were sufficient numbers of staff on duty to safely deliver residents cares. </w:t>
            </w:r>
          </w:p>
          <w:p w:rsidR="00EB7645" w:rsidRPr="00BE00C7" w:rsidP="00BE00C7">
            <w:pPr>
              <w:pStyle w:val="OutcomeDescription"/>
              <w:spacing w:before="120" w:after="120"/>
              <w:rPr>
                <w:rFonts w:cs="Arial"/>
                <w:b w:val="0"/>
                <w:lang w:eastAsia="en-NZ"/>
              </w:rPr>
            </w:pPr>
            <w:r w:rsidRPr="00BE00C7">
              <w:rPr>
                <w:rFonts w:cs="Arial"/>
                <w:b w:val="0"/>
                <w:lang w:eastAsia="en-NZ"/>
              </w:rPr>
              <w:t>Morning shift has a care lead (enrolled nurse or senior HCA) rostered from 6.45 am to 3 pm.  They are supported by four HCAs; 3x 7 am to 3 pm and 1x 7 am to 1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Afternoon shift has one care lead (enrolled nurse or senior HCA) rostered from 2.45 pm to 11 pm who is supported by two HCAs; 1x 3 pm to 11 pm and 1x 4.30 pm to 9.30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night shift there is one care lead from 10.45 pm to 7 am and one HCA from 11 pm to 7 am on duty.  Healthcare assistants are allocated to wings (wing one and two downstairs, upstairs and studio apartments).  There is a Diversional Therapist (DT) on Monday to Friday.  The unit manager shares on call with Elmswood.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medication files were reviewed.  All had photo identification, allergies recorded, and all medications were clearly and appropriately prescribed including indications for use.  The service uses four weekly blister packs which are delivered by the pharmacy and checked and sighted for by unit manager, or the enrolled nurse with a senior healthcare assistant.  Standing orders were not in use.  Medication reviews were completed by the GP three monthly.  PRN medications were prescribed correctly with indications for use.  Medications are stored securely in the locked nurses’ station. There were no self-medicating residents.  The unit manager, enrolled nurse and care leads are assessed as medication competent to administer medication.  The medication fridge temperatures have been monitored daily and temperatures were within the acceptable range.  The medication room temperatures have been recorded; however, the temperature was higher than 25 degrees Celsius.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functional centrally located kitchen where meals are served from.  All meals are prepared and cooked at Elmswood (sister site).  Baking and snacks are prepared on site.  Food is transferred to Fendalton in hot boxes and served from a heated bain marie.  Food is served from the kitchen to the dining area adjacent to it.  Temperatures are checked on leaving Elmswood, and on service at Fendalton.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food services manual in place to guide staff.  A current food control plan is in place expiring 2 March 2021.  All food is stored appropriately, with evidence of good stock rotation.  Fridge and freezer temperatures are checked daily and are within expected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cooks have food handling certificates and cooking experience.  Special diets are being catered for.  The five-week summer and winter menu has been reviewed by a registered dietitian.  Residents have had a nutritional profile developed on admission which identifies dietary requirements and likes and dislikes.  This is reviewed six monthly as part of the care plan review or sooner if required.  The cook interviewed was aware of changes in resident’s nutritional needs and was knowledgeable around the current nutritional requirements of residents.  A light lunch is provided at lunchtime, with the main meal served in the evening for dinner.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Residents and relatives interviewed reported satisfaction with meals.  Meals are discussed at the resident meetings and feedback is given to kitchen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unit manager initiates a referral (eg, to the physiotherapist, dietitian, speech and language therapist).  The GP actions external medical referrals when required.  The care plans reviewed were current, and reflected the assessments conducted and the identified requirements of the residents.  Healthcare assistants follow the care plan and report progress against the care plan in the electronic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of wound dressings were sighted on the day of the audit.  There were six wounds on the day of the audit (four superficial skin tear, one cancerous fungating ulcer, and one basal cell carcinoma.  All wounds had individual electronic assessments, plans and evaluations completed each time the wound was dressed.  These are linked to electronic short-term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a continence assessment and plan.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suite of monitoring charts is available on the electronic system.  Monitoring charts sighted included weight, vital signs, food and fluid charts and blood sugar monitoring were completed as per care plan interventions.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Fendalton rest home employs a qualified diversional therapist who works full time across Monday to Friday.  She is supported by a part time activities assistant who works 12 hours a week on Wednesdays and Thursdays.  The diversional therapist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Each resident has an individual profile completed on admission, and a current activities plan which has been reviewed at least six monthly.  Attendance records were maintained and sighted in the resident files.</w:t>
            </w:r>
          </w:p>
          <w:p w:rsidR="00EB7645" w:rsidRPr="00BE00C7" w:rsidP="00BE00C7">
            <w:pPr>
              <w:pStyle w:val="OutcomeDescription"/>
              <w:spacing w:before="120" w:after="120"/>
              <w:rPr>
                <w:rFonts w:cs="Arial"/>
                <w:b w:val="0"/>
                <w:lang w:eastAsia="en-NZ"/>
              </w:rPr>
            </w:pPr>
            <w:r w:rsidRPr="00BE00C7">
              <w:rPr>
                <w:rFonts w:cs="Arial"/>
                <w:b w:val="0"/>
                <w:lang w:eastAsia="en-NZ"/>
              </w:rPr>
              <w:t>The activities team develops a monthly planner which has regular activities such as newspaper reading, group games, church services, and exercises.  There are combined activities with the residents from the serviced apartments including painting club, happy hours, entertainment, book club and church services.  The activities assistant provides ‘devotions’ which is non-denominational and is well attended by residents.  A recent initiative is to broaden the activities programme, continue to increase community engagement, and focus on more frequent one on one/small group activities.  Interviews with residents identified that activities provided were appropriate to the needs, age and culture of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van that is used for weekly resident outings.  Residents were observed participating in activities on the days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bi-monthly and provide a forum for feedback and suggestions relating to activities.  Residents and relatives interviewed commented positively around activities and the range of activities on offer.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 evaluations were sighted in resident files reviewed.  Evaluations have been completed at least six monthly and when there is a change in condition or care requirements, and document progress toward achieving goals.  There is at least a three-monthly review by the GP.  The files reviewed included examples where changes in health status had been documented and followed up.  Short-term care plans reviewed had been evaluated and closed out or added to the long-term care plan where the problem was ongoing.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Fendalton Retirement Village holds a current building warrant of fitness expiring on 1 August 2020.  Preventative and reactive maintenance occur, and records are maintained.  Hot water temperatures are checked randomly and were within ranges.  Tradesmen are available if required.  Equipment has been tagged and tested.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Fendalton is a two-storey building, there is a lift with current compliance, and ramps are in place where there are different levels on the lower floor.  All rooms are fully furnished, spacious and personalised.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that there is adequate equipment available.  All areas are accessible for residents using mobility aids, ramps are in place for areas of different levels.  There is a large communal lounge area mainly used for larger group activities, and a small lounge for residents and relatives to enjoy.  There is a separate lounge/dining area for residents residing in the serviced apartments.  Outdoor areas and gardens are well maintained and accessible to residents.  The gardens have seating and shade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stated they have sufficient equipment including mobility aids, wheelchairs and pressure injury equipment (if required), to safely deliver the cares as outlined in the residents’ care plans.  There is a hoist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The infection control coordinator (unit manager) collates information obtained through electronic individual infection logs.  Trends are identified and analysed, and preventative measures put in place.  Infection control data is discussed at the bi-monthly infection control committee meeting and staff meetings.  Data and graphs of infection events are available to staff.  The service completes monthly, six monthly and annual comparisons of infection rates for types of infections.  Fendalton Retirement Village continue to be successful in reducing urinary tract infections.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restraint minimisation and safe practice policy that is applicable to the service.  The unit manager is the restraint coordinator.  There are currently no residents using restraint or enablers.  All staff have completed restraint/enabler and challenging behaviour training annually via the online system.  Healthcare assistants interviewed could fluently describe the differences between restraint and enablers.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946"/>
        <w:gridCol w:w="1280"/>
        <w:gridCol w:w="4384"/>
        <w:gridCol w:w="1633"/>
        <w:gridCol w:w="16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Temperatures have been recorded weekly for the medication room and the medication fridge.  The medication fridge temperature is maintained at 4 degrees; however, the medication room exceeds the recommended 25 degrees Celsius.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temperature of the medication room exceeded 25 degrees on the day of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medication room temperature is maintained and less than 25 degrees Celsius.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73"/>
        <w:gridCol w:w="1280"/>
        <w:gridCol w:w="2260"/>
        <w:gridCol w:w="622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Fendalton Retirement Village continues to provide education around infection control measures and management of urinary tract infections.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Fendalton Retirement Village continue to be successful in reducing urinary tract infections.  2018 statistics evidenced the rate of urinary tract infections (UTIs) had remained well below the benchmark of 7 per 1000 bed nights.  The numbers of UTIs have remained low, with no residents experiencing UTIs in the last eight months and 0.1 per 1000 bed nights in the first six months of 2019.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Fendalton Lifecare (2006) Limited - Fendalton Retirement Village</w:t>
    </w:r>
    <w:bookmarkEnd w:id="58"/>
    <w:r>
      <w:rPr>
        <w:rFonts w:cs="Arial"/>
        <w:sz w:val="16"/>
        <w:szCs w:val="20"/>
      </w:rPr>
      <w:tab/>
      <w:t xml:space="preserve">Date of Audit: </w:t>
    </w:r>
    <w:bookmarkStart w:id="59" w:name="AuditStartDate1"/>
    <w:r>
      <w:rPr>
        <w:rFonts w:cs="Arial"/>
        <w:sz w:val="16"/>
        <w:szCs w:val="20"/>
      </w:rPr>
      <w:t>19 February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