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Sunrise Healthcare Limited - West Harbour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Sunrise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West Harbour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2020</w:t>
      </w:r>
      <w:bookmarkEnd w:id="7"/>
      <w:r w:rsidRPr="009418D4">
        <w:rPr>
          <w:rFonts w:cs="Arial"/>
        </w:rPr>
        <w:tab/>
        <w:t xml:space="preserve">End date: </w:t>
      </w:r>
      <w:bookmarkStart w:id="8" w:name="AuditEndDate"/>
      <w:r w:rsidR="00A4268A">
        <w:rPr>
          <w:rFonts w:cs="Arial"/>
        </w:rPr>
        <w:t>22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West Harbour Gardens is one of three facilities owned by Sunrise Healthcare.  The facility provides rest home, dementia, hospital (geriatric and medical) and residential disability -physical level care for up to 74 residents.  On the day of the audit there were 56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The facility manager has previous experience in age care and is supported by a clinical manager who has recently been employed.  They are supported by registered nurses and long-standing staff.  Residents and relatives interviewed were very complimentary of the services and care they receive.</w:t>
      </w:r>
    </w:p>
    <w:p w:rsidRPr="00A4268A">
      <w:pPr>
        <w:spacing w:before="240" w:line="276" w:lineRule="auto"/>
        <w:rPr>
          <w:rFonts w:eastAsia="Calibri"/>
        </w:rPr>
      </w:pPr>
      <w:r w:rsidRPr="00A4268A">
        <w:rPr>
          <w:rFonts w:eastAsia="Calibri"/>
        </w:rPr>
        <w:t>The service has addressed eight of nine shortfalls identified at the previous partial provisional audit around the transition plan, staffing, and environmental shortfalls.  There continues to be an improvement required around contractual timeframes.</w:t>
      </w:r>
    </w:p>
    <w:p w:rsidRPr="00A4268A">
      <w:pPr>
        <w:spacing w:before="240" w:line="276" w:lineRule="auto"/>
        <w:rPr>
          <w:rFonts w:eastAsia="Calibri"/>
        </w:rPr>
      </w:pPr>
      <w:r w:rsidRPr="00A4268A">
        <w:rPr>
          <w:rFonts w:eastAsia="Calibri"/>
        </w:rPr>
        <w:t>The previous certification audit shortfall around education continues has been addressed.</w:t>
      </w:r>
    </w:p>
    <w:p w:rsidRPr="00A4268A">
      <w:pPr>
        <w:spacing w:before="240" w:line="276" w:lineRule="auto"/>
        <w:rPr>
          <w:rFonts w:eastAsia="Calibri"/>
        </w:rPr>
      </w:pPr>
      <w:r w:rsidRPr="00A4268A">
        <w:rPr>
          <w:rFonts w:eastAsia="Calibri"/>
        </w:rPr>
        <w:t xml:space="preserve">This surveillance audit identified areas for improvement around complaint management, care plan interventions and monitoring, medication management and restraint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they are provided with adequate information and that communication is open.  </w:t>
      </w:r>
    </w:p>
    <w:p w:rsidRPr="00A4268A">
      <w:pPr>
        <w:spacing w:before="240" w:line="276" w:lineRule="auto"/>
        <w:rPr>
          <w:rFonts w:eastAsia="Calibri"/>
        </w:rPr>
      </w:pPr>
      <w:r w:rsidRPr="00A4268A">
        <w:rPr>
          <w:rFonts w:eastAsia="Calibri"/>
        </w:rPr>
        <w:t xml:space="preserve">Residents are informed of the complaints process and there are policies and procedures in place to investigate complaints.  A register of complaints is kept.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Operational and clinical management and leadership is provided by the newly appointed facility and clinical managers.  </w:t>
      </w:r>
    </w:p>
    <w:p w:rsidRPr="00A4268A">
      <w:pPr>
        <w:spacing w:before="240" w:line="276" w:lineRule="auto"/>
        <w:rPr>
          <w:rFonts w:eastAsia="Calibri"/>
        </w:rPr>
      </w:pPr>
      <w:r w:rsidRPr="00A4268A">
        <w:rPr>
          <w:rFonts w:eastAsia="Calibri"/>
        </w:rPr>
        <w:t xml:space="preserve">There is a documented quality and risk management programme.  Adverse, unplanned, and untoward events are documented by staff and reviewed by the managers.  All aspects of the quality programme are discussed at relevant meetings.  The health and safety programme is implemented. </w:t>
      </w:r>
    </w:p>
    <w:p w:rsidRPr="00A4268A">
      <w:pPr>
        <w:spacing w:before="240" w:line="276" w:lineRule="auto"/>
        <w:rPr>
          <w:rFonts w:eastAsia="Calibri"/>
        </w:rPr>
      </w:pPr>
      <w:r w:rsidRPr="00A4268A">
        <w:rPr>
          <w:rFonts w:eastAsia="Calibri"/>
        </w:rPr>
        <w:t xml:space="preserve">Human resource policies are documented.  An orientation programme is in place for new staff.  An annual staff education and training plan is documented.  Registered nursing cover is provided on a morning and afternoon shift, seven days a week with adequate numbers of care staff on each wing.  Staff in the dementia unit are training in dementia.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plans residents' needs, outcomes and goals with the resident and/or family/whānau input.  Care plans demonstrated service integration and resident/relative input into care.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residents.  The programme includes community visitors and outings, entertainment and activities that meet the individual recreational, physical, cultural and cognitive abilities and preferences for each resident group.  Residents and relatives reported satisfaction with the activities programme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and complete annual education and medication competencies.  The medicine charts reviewed meet prescribing requirements and were reviewed at least three monthly.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in place.  Reactive and preventative maintenance schedules were in place and maintained.  The dementia unit is fully completed and secure.  Outdoor areas were well maintained and easily accessible to all residents using mobility aids.  There are large communal areas, and smaller seating areas available.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Restraints were used in the service on audit day and there was one enabler used in the service.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surveillance programme is documented and undertaken, and this is appropriate to the size and complexity of the service.  Results of surveillance are acted upon, evaluated and reported to relevant personnel in a timely manner.  There have not been any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8"/>
        <w:gridCol w:w="1280"/>
        <w:gridCol w:w="104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has been reinstated in 2020.  This includes complaints received, dates and actions taken as per the complaints.  The facility manager signs off each complaint when it is closed.  There is evidence of complaints being discussed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complaints were received in 2019.  One complaint was documented as resolved as resolved in a timely manner.  Documentation to confirm that complaints are resolved was not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complaint from the Health and Disability Commission that occurred prior to the last certification audit.  The service is waiting for feedback from the Commission to close off the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12 adverse events reviewed indicated that family are kept informed.  Three family members interviewed (including two with family members in the hospital, one of whom is a young person with a disability; and one family member in the dementia unit)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family/resident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residents were interviewed including seven requiring hospital level care (including two young people with disability and one under a long-term conditions contract) and two rest home residents.  All stated that there was good communication with staff and managers, and they felt informed of changes in the organisation.  One resident interviewed particularly stated that they valued the meetings as a way of communicating any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Families and staff are utilised in the first instance.  A range of communication methods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 Harbour Gardens residential care provides care for up to 74 residents with 56 beds occupied on the day of audit (20 rest home, 29 hospital, 7 dementia).  This is one of three aged care facilities owned and managed by Sunrise Healthcare.  The service is certified to provide hospital (medical, geriatric), rest home, residential – physical/intellectual disability level care and dementia care.  All hospital/rest home resident rooms are dual-purpose.  There are four wings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is a 25-bed unit with 18 beds occupied. </w:t>
            </w:r>
          </w:p>
          <w:p w:rsidR="00EB7645" w:rsidRPr="00BE00C7" w:rsidP="00BE00C7">
            <w:pPr>
              <w:pStyle w:val="OutcomeDescription"/>
              <w:spacing w:before="120" w:after="120"/>
              <w:rPr>
                <w:rFonts w:cs="Arial"/>
                <w:b w:val="0"/>
                <w:lang w:eastAsia="en-NZ"/>
              </w:rPr>
            </w:pPr>
            <w:r w:rsidRPr="00BE00C7">
              <w:rPr>
                <w:rFonts w:cs="Arial"/>
                <w:b w:val="0"/>
                <w:lang w:eastAsia="en-NZ"/>
              </w:rPr>
              <w:t>Rata is a 25-bed unit with 21 beds occupied.</w:t>
            </w:r>
          </w:p>
          <w:p w:rsidR="00EB7645" w:rsidRPr="00BE00C7" w:rsidP="00BE00C7">
            <w:pPr>
              <w:pStyle w:val="OutcomeDescription"/>
              <w:spacing w:before="120" w:after="120"/>
              <w:rPr>
                <w:rFonts w:cs="Arial"/>
                <w:b w:val="0"/>
                <w:lang w:eastAsia="en-NZ"/>
              </w:rPr>
            </w:pPr>
            <w:r w:rsidRPr="00BE00C7">
              <w:rPr>
                <w:rFonts w:cs="Arial"/>
                <w:b w:val="0"/>
                <w:lang w:eastAsia="en-NZ"/>
              </w:rPr>
              <w:t>Ngaio is a 12-bed unit with 10 beds occupied.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Manuka is a 12-bed dementia unit with seven beds occupied including one private day stay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Note: that two designated dual-purpose rooms in the hospital rest home wings are currently used as lounges. </w:t>
            </w:r>
          </w:p>
          <w:p w:rsidR="00EB7645" w:rsidRPr="00BE00C7" w:rsidP="00BE00C7">
            <w:pPr>
              <w:pStyle w:val="OutcomeDescription"/>
              <w:spacing w:before="120" w:after="120"/>
              <w:rPr>
                <w:rFonts w:cs="Arial"/>
                <w:b w:val="0"/>
                <w:lang w:eastAsia="en-NZ"/>
              </w:rPr>
            </w:pPr>
            <w:r w:rsidRPr="00BE00C7">
              <w:rPr>
                <w:rFonts w:cs="Arial"/>
                <w:b w:val="0"/>
                <w:lang w:eastAsia="en-NZ"/>
              </w:rPr>
              <w:t>A transition plan for the new dementia unit has been completed.  This is an improvement since the previous partial provisional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2019 business plan was documented for the service and this is currently being reviewed in preparation to the 2020 plan being developed.  A quality plan is in place for 2020 with objectives and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and objectives with anticipated outcomes is documented.  The facility and clinical managers interviewed confirmed knowledge of the vision, mission and values and were able to give examples of how these were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with a current annual practicing certificate who has been in the role for two months.  She has had over 13 years’ experience in management roles, has been a needs assessor for a district health board and has worked in the disability sector for over 20 years in mental health, community and hospital settings.  She is completing a Bachelor of Psychology and Counselling.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in the role for one month and was previously a registered nurse for two years in an aged care facility (five years as a registered nurse in New Zealand).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documented.  Quality and risk performance is reported through meetings held throughout the facility with evaluation of the plan against goals completed quarterly.  Discussions with the facility manager, clinical manager and staff (four caregivers representing each level of care; two registered nurses and one enrolled nurse; a chef and kitchen assistant; maintenance and a diversional therapist), showed staff involvement in quality and risk management processes.  Young people with disabilities have input into quality improvements to the service with examples provided.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are held each month.  Minutes are maintained.  Annual resident satisfaction surveys were last completed in 2019.</w:t>
            </w:r>
          </w:p>
          <w:p w:rsidR="00EB7645" w:rsidRPr="00BE00C7" w:rsidP="00BE00C7">
            <w:pPr>
              <w:pStyle w:val="OutcomeDescription"/>
              <w:spacing w:before="120" w:after="120"/>
              <w:rPr>
                <w:rFonts w:cs="Arial"/>
                <w:b w:val="0"/>
                <w:lang w:eastAsia="en-NZ"/>
              </w:rPr>
            </w:pPr>
            <w:r w:rsidRPr="00BE00C7">
              <w:rPr>
                <w:rFonts w:cs="Arial"/>
                <w:b w:val="0"/>
                <w:lang w:eastAsia="en-NZ"/>
              </w:rPr>
              <w:t>Young people interviewed stated that they were happy with the service overall.</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adhering to relevant standards - including those standards relating to the Health and Disability Services (Safety) Act 2001.  The service's policies are reviewed on a two-yearly schedule and these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The facility has implemented processes to collect, analyse and evaluate data, which is utilised for service improvements.  Results are communicated to staff in meetings and on staff noticeboards.  Corrective action plans are implemented when opportunities for improvements are identified (eg, internal audit results).  Corrective actions are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a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sensor mats, and intentional rounding.  A physiotherapist assesses all new residents and has developed comprehensive transfer plans which have been reported as being successful in helping to reduce the number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clinical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12 accident/incident forms showed forms were fully completed and include follow-up by a registered nurse.  Accident/incident forms are completed when a pressure injury is identified.  Neurological observations are recorded for any suspected injury to the head or for an unwitnessed fall, however these are not completed as per policy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were able to identify situations that would be reported to statutory authorities including infectious diseases, serious accidents and unexpected death.  There was evidence of section 31 reports completed for pressure injuries and relevant authorities were notified of the change in facility and clinical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July 2019, registered nurses have improved reporting of any injuries or infections to family as confirmed by family interviewed and a review of incident forms.  The facility and clinical managers state that they meet with registered nurses and discuss any incidents or accidents on a daily basis to ensure that there are effective processes in place to ensure that any issues are able to be discussed and escalated (link to 1.3.3.3 and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reviewed (facility and clinical managers; three registered nurses, one caregiver; one diversional therapist and one chef) included a recruitment process (interview process, reference checking, police vetting),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as part of their induction to the service.  A new staff member was able to describe a comprehensive orientation programme that had been provided prior to them working alone.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up to date in four of five staff files reviewed with one outstanding (all other staff files reviewed were for new staff).  The facility manager is aware of staff who have not had a performance appraisal in the last year and is working to a plan to address this.  This is appropriate given the length of time the facility manager has been in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There are four registered nurses who are interRAI trained as well as the clinical manager.  Three are booked onto the interRAI training programme.  There are implemented competencies for registered nurses including (but not limited to) medication, syringe driver, wound and insulin competencies.  Registered nursing staff also attend specific in-service training programmes (eg, delirium, advanced care planning, wound management and care) with high attendance rates.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All staff are requested to participate in continuing education relevant to physical disability and young people with physical disabilities.  There is an attendance register for each training session.  Staff complete a competency questionnaire following a selection of in-services (eg, manual handling, code of rights, hand washing, fire evacuation).  Attendance has improved with the use of an online training platform. </w:t>
            </w:r>
          </w:p>
          <w:p w:rsidR="00EB7645" w:rsidRPr="00BE00C7" w:rsidP="00BE00C7">
            <w:pPr>
              <w:pStyle w:val="OutcomeDescription"/>
              <w:spacing w:before="120" w:after="120"/>
              <w:rPr>
                <w:rFonts w:cs="Arial"/>
                <w:b w:val="0"/>
                <w:lang w:eastAsia="en-NZ"/>
              </w:rPr>
            </w:pPr>
            <w:r w:rsidRPr="00BE00C7">
              <w:rPr>
                <w:rFonts w:cs="Arial"/>
                <w:b w:val="0"/>
                <w:lang w:eastAsia="en-NZ"/>
              </w:rPr>
              <w:t>There are 23 caregivers with the following Careerforce training completed: fifteen level 1; five level 2; six level 3; three level 4 (plus five enrolled and five who have not completed training and are not enrolled).  The staff in the dementia unit who have not got level four training and are not enrolled, work alongside a staff member in the dementia unit who has, and the registered nurse also supports their practice.  The service is working towards ensuring all staff who work in the dementia unit have the required qualifications within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There is a minimum of one RN on site at any time.  Activities are provided over five days a week.  Staff working on the days of the audit, were visible and attending to call bells in a timely manner as observed during the audit.  The clinical manager is available five days a week (Monday – Friday) and is supported by the facility manager five days a week.  They alternate on-call between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staff who have completed NZQA training in dementia care.  The rosters were reviewed for the past three months and all showed that staff were allocated to meet resident needs, acuity and numbers.  This is an improvement on the previous partial provisional audit.  The roster is designed to include a mix of levels one, two, three and four staff on each shift.  There has been a nil staff turnover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The following staff are rostered on:</w:t>
            </w:r>
          </w:p>
          <w:p w:rsidR="00EB7645" w:rsidRPr="00BE00C7" w:rsidP="00BE00C7">
            <w:pPr>
              <w:pStyle w:val="OutcomeDescription"/>
              <w:spacing w:before="120" w:after="120"/>
              <w:rPr>
                <w:rFonts w:cs="Arial"/>
                <w:b w:val="0"/>
                <w:lang w:eastAsia="en-NZ"/>
              </w:rPr>
            </w:pPr>
            <w:r w:rsidRPr="00BE00C7">
              <w:rPr>
                <w:rFonts w:cs="Arial"/>
                <w:b w:val="0"/>
                <w:lang w:eastAsia="en-NZ"/>
              </w:rPr>
              <w:t>Manuka (dementia) has seven beds occupied and one private day stay resident.  Two healthcare assistants each on the morning and afternoon shifts (one long shift and one short shift) and one overnight with a registered nurse who sits in the unit for two hours a day completing paperwork and supporting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Kowhai has 18 beds occupied - 17 hospital (including seven young people with disability, two intellectual disability, one resident under the long-term condition contract) and one rest home resident.  Four caregivers each on the morning and afternoon shifts (two allocated to each wing on each shift with two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Rata has 21 beds occupied - 7 hospital (including three young people with disability) and 14 rest home residents (including one resident under the long-term condition contract).  Two caregivers on each of the morning and afternoon shifts (one long and one short shift each on morning and afternoon;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Ngaio has 10 beds occupied - five hospital (including two young people with disability, two hospital residents, one hospital resident under the long-term condition contract) and five rest home residents.  One long and one short shift on each morning and afternoon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Three healthcare assistants 11 pm-7 am (one allocated to the dementia unit; two across the rest home/hospital and one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 the dementia unit carry a personal alarm that is linked to staff in the rest home/hospital wings.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overall the staffing levels are satisfactory and that the managers provide adequate support.  Residents and family interviewed also reported there are sufficient staff numbers to meet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have been assessed for medication competency on an annual basis.  Caregivers with level 4 NZQA complete competency assessments for the checking and administration of medications.  Education around safe medication administration has been provided.  Staff were observed to be safely administering medications.  The service uses robotic rolls, and these are checked on delivery against the paper-based medication charts.  Standing orders are not used.  Verbal orders are used, correct procedure was followed as documented in the medication charts.  One rest home resident and one hospital level of care resident were self-medicating inhalers and had self-medicating competencies in place authorised by the GP and reviewed three monthly.  The medication fridge temperatures had not been recorded in both treatment rooms, and no recording of room temperatures had been completed.  All medications are stored safely.  Eye drops were dated on opening and all stock was within the expiry dates.  </w:t>
            </w:r>
          </w:p>
          <w:p w:rsidR="00EB7645" w:rsidRPr="00BE00C7" w:rsidP="00BE00C7">
            <w:pPr>
              <w:pStyle w:val="OutcomeDescription"/>
              <w:spacing w:before="120" w:after="120"/>
              <w:rPr>
                <w:rFonts w:cs="Arial"/>
                <w:b w:val="0"/>
                <w:lang w:eastAsia="en-NZ"/>
              </w:rPr>
            </w:pPr>
            <w:r w:rsidRPr="00BE00C7">
              <w:rPr>
                <w:rFonts w:cs="Arial"/>
                <w:b w:val="0"/>
                <w:lang w:eastAsia="en-NZ"/>
              </w:rPr>
              <w:t>Twelve paper-based medication charts reviewed (two YPD, one intellectual disability, three dementia, three rest home and three hospital) met legislative prescribing requirements.  The GP has reviewed the medication charts three monthly.  All medications had been administered as prescribed.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prepared and cooked on site by a qualified cook, who is supported by morning and afternoon kitchenhands.  There is a four-weekly menu which has been reviewed by a dietitian in October 2019.  Fridge, chiller and freezer temperatures are taken and recorded daily.  End-cooked food temperatures are recorded.  Inward chilled goods have temperatures checked on delivery.  Cleaning schedules are maintained.  Chemicals are stored safely.  Kitchen staff were observed to be wearing correct personal protective clothing.  The food control plan is in place expiring 30 April 2021.  Food services staff have completed training in food safety 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kitchen is adjacent to the main dining room and meals are served from the bain marie directly to the residents in the dining room.  Meals are plated and covered with insulated lids and delivered to the dementia unit.  Dietary needs are known with individual likes and dislikes accommodated.  Dietary requirements (diabetic desserts and lactose free diets), cultural and religious food preferences are met.  Additional or modified foods are also provided by the service.  Staff were observed assisting residents with their meals and drinks.  Snacks are available for residents in all of the areas 24/7.  There is a fridge in the dementia unit with nutritious snacks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dietitian or nurse specialist consultation.  There is evidence that relatives were notified of any changes to their relative’s health including (but not limited to) accident/incidents, infections, health professional visits and changes in medications.  Discussions with relatives and notifications were documented in the electronic progress notes.  Short term care plans were documented in the electronic system for acute needs.  </w:t>
            </w:r>
          </w:p>
          <w:p w:rsidR="00EB7645" w:rsidRPr="00BE00C7" w:rsidP="00BE00C7">
            <w:pPr>
              <w:pStyle w:val="OutcomeDescription"/>
              <w:spacing w:before="120" w:after="120"/>
              <w:rPr>
                <w:rFonts w:cs="Arial"/>
                <w:b w:val="0"/>
                <w:lang w:eastAsia="en-NZ"/>
              </w:rPr>
            </w:pPr>
            <w:r w:rsidRPr="00BE00C7">
              <w:rPr>
                <w:rFonts w:cs="Arial"/>
                <w:b w:val="0"/>
                <w:lang w:eastAsia="en-NZ"/>
              </w:rPr>
              <w:t>Not all interventions required were readily available in the resident care plans, and not all monitoring charts were consistently recorded as instructed in the care plans.  The incident reports reviewed had evidence of registered nurse follow-up and linked to wound charts as appropriate, however not all neurological observations had been completed according to the policy</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  An electronic wound register is maintained.  On the day of the audit there were 16 wounds across all service levels.  Wound management policies and procedures are in place.  Wound assessments, treatment and evaluations were in place for all current wounds including six skin tears, three chronic ulcers, five abrasion/excoriation areas, one nailbed and one blister.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one stage 3 pressure injury and one resolving unstageable pressure injury (section 31 notifications have been completed) and the wound care specialist has had involvement.  There is a range of pressure injury prevention equipment readily available and in use.  The two hourly monitoring charts were in place, however not consistently recorded.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restraint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registered diversional therapist (DT) who works 32.5 hours a week and is supported by an activity assistant to implement the integrated rest home and hospital activity programme Monday to Friday.  An activity assessment and plan are completed on admission for each resident in consultation with the resident/family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The activity team provide individual and group activities in the rest home/hospital area to meet the recreational preferences of the resident groups.  The programme includes (but is not limited to); newspaper reading, exercises, board games, arts and crafts, sensory activities, word games, cooking, knitting club and walking groups.  There are weekly outings in the van.  The van drivers and activity team hold current first aid certificates.  Residents enjoy scenic drives to the airport, beaches and outings to community cafés, RSA and other rest homes for games and competitions.  One-on-one activities such as individual walks, massage, reading and pampering occur for residents who are unable,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unit are mainly led by the caregivers, and include craft and colouring, housie, floor games, walks and gardening.  Some activities such as entertainment, school groups visiting, and a large bingo game are combined with all residents in the large communal area in the hospital area.  The DT completes the activities assessment.  The 24-hour activity plan with activities the residents enjoy includes input from the RN and DT.  </w:t>
            </w:r>
          </w:p>
          <w:p w:rsidR="00EB7645" w:rsidRPr="00BE00C7" w:rsidP="00BE00C7">
            <w:pPr>
              <w:pStyle w:val="OutcomeDescription"/>
              <w:spacing w:before="120" w:after="120"/>
              <w:rPr>
                <w:rFonts w:cs="Arial"/>
                <w:b w:val="0"/>
                <w:lang w:eastAsia="en-NZ"/>
              </w:rPr>
            </w:pPr>
            <w:r w:rsidRPr="00BE00C7">
              <w:rPr>
                <w:rFonts w:cs="Arial"/>
                <w:b w:val="0"/>
                <w:lang w:eastAsia="en-NZ"/>
              </w:rPr>
              <w:t>Activities provided are appropriate to the needs, age and culture of the residents.  The younger people are invited to attend the group activities of their interest.  The activity team make daily contact with the younger people and ensure they have their recreational needs met.  They have good family support and go out regularly with family or their support persons to community events and activities.  A recent initiative has been around themes of the month.  January was about celebrating the Chinese New Year, activities around the theme included baking Chinese cookies, making lanterns at crafts, a Chinese memory game, painting dragons, a Chinese crosswords and trivia.  A van outing included visiting a Chinese restaurant for lunch.</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include churches, inter-home visits, pet therapy, entertainers, school groups, kindie groups and haka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invited to the monthly resident meetings.  The service also receives feedback and suggestions for the programme through surveys and one-on-one feedback from residents (as appropriate) and families.  Residents interviewed were happy with the activities offered.  The younger persons were happy the service ensures they continue with community and family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the RN, however, not all had been developed or evaluated within expected timeframes (link 1.3.3.3).  The GP reviews residents at least three monthly or earlier if required.  Ongoing nursing evaluations occur as indicated and are documented within the electronic progress notes and acute care needs forms.  The paper-based evaluations involved members of the multidisciplinary team and residents/relatives six monthly care planning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in place.  Records of preventative and reactive maintenance are maintained.  Equipment has been tagged and tested.  Hot water temperatures have been recorded randomly (monthly) and are within expected ranges.  The dementia unit is now secure.  The dementia unit provides space for residents to wander around freely, and have access to the secure outside garden area, seating and shade is provided.  There are raised beds with sensory plants.  The previous findings from the partial provisional audit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shared bathroom and toilet areas are within close proximity to resident rooms and communal areas.  All are fitted with call bells and were fully refurbished, functional and suitable for resident use.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 large main dining room where most activities take place.  There are private lounges in each wing with a computer and skype available in one of the lounges.  Seating and space is arranged to allow both individual and group activities to occur.  All furniture is safe and suitable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area in the dementia unit along with a large dining area able to accommodate all residents, and a smaller quiet lounge in the dementia unit.  Furniture has been purchased and was suitable for purpose.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procedures to guide staff.  The emergency plan considers the special needs of young people with disabilities in an emergency.  There is a minimum of one first aid trained staff member on every shift and during outings.  The facility has an approved fire evacuation plan.  No changes were required to the current fire evacuation procedures with the reconfiguration of services.  Fire drills take place every six months.  The trial evacuation report dated 6 December 2019 was sighted.  Smoke alarms, sprinkler system and exit signs are in place.  Emergency lighting is in place which is regularly tested.  A civil defence kit is in place.  Supplies of stored water and food are held on site and are adequate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call bells are evident in resident’s rooms, lounge areas.  Call bells were functional and present in all areas of the dementia unit including toilets and bathrooms.  The previous shortfall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kept locked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surveillance programme is documented and undertaken, and this is appropriate to the size and complexity of the service.  Reports are extracted from Leecare (patient management system) for discussion, and graphs are charted to illustrate numbers of infections in each level of care.  Results of surveillance are acted upon, evaluated and reported to relevant personnel in a timely manner.  Registered nurses discuss the surveillance data at registered nurse meetings and findings are presented at staff meetings.  The number of infections is benchmarked through the district health board.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(hospital level) residents using bedrails as restraint and one enabler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of the resident using an enabler was reviewed.  The resident gave written consent for the use of bedrails.  The enabler was linked to the resident’s care plan and was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and enabler register was incorrect, and while there was some documentation available this did not match numbers of restraint and enablers in use as described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2"/>
        <w:gridCol w:w="1280"/>
        <w:gridCol w:w="5667"/>
        <w:gridCol w:w="2363"/>
        <w:gridCol w:w="16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for 2020 available to record complaints.  Complaints for 2019 to date are documented, however there is not consistent evidence to confirm that the complainant is notified that the complaint has been received or the results of the investigation.  Two complaints investigated showed that actions had been taken to resolve the issue with a letter or formal meeting to/with the complaint to discuss the outcomes of the investigation.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nine complaints reviewed did not include documentation to evidence resolution.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complaints register records complaints, timeliness of actions with documentation confirming communication to the complainant retained.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were stored securely, all paper-based medication reviewed had appropriate medications charted correctly, there was a low usage of antipsychotic medications.  Staff observed during the medication rounds were following procedures, however temperatures of medication fridges and medication rooms were not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Temperatures of medication fridges in both treatment rooms were not recorded.</w:t>
            </w:r>
          </w:p>
          <w:p w:rsidR="00EB7645" w:rsidRPr="00BE00C7" w:rsidP="00BE00C7">
            <w:pPr>
              <w:pStyle w:val="OutcomeDescription"/>
              <w:spacing w:before="120" w:after="120"/>
              <w:rPr>
                <w:rFonts w:cs="Arial"/>
                <w:b w:val="0"/>
                <w:lang w:eastAsia="en-NZ"/>
              </w:rPr>
            </w:pPr>
            <w:r w:rsidRPr="00BE00C7">
              <w:rPr>
                <w:rFonts w:cs="Arial"/>
                <w:b w:val="0"/>
                <w:lang w:eastAsia="en-NZ"/>
              </w:rPr>
              <w:t>(ii) Medications room temperatures have not been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the temperatures of the medication room and fridges storing medications are recorded and within ranges.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files was extended by a further three ARC files to review contractual timeframes as the three younger persons files did not require interRAI assessments.  InterRAI assessments were in place for the residents requiring this, however, not all interRAI assessments had been completed or reviewed within timeframes, and not all care plans had been developed in line with the interRAI assessment or documented as reviewed at least six monthly.  This is an ongoing shortfall since the previous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Six of six ARC files reviewed did not have interRAI assessments and care plans completed or reviewed within expected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Four of the ARC care plans were not completed in line with the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interRAI assessments and care plans are developed within expected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interventions in the care plans guide staff to provide adequate care for residents.  Caregivers interviewed stated they had enough information in the care plans to provide the are required for residents.  The care plans reviewed had resident centred goals and evidenced the care plans were developed in partnership with relatives and residents where appropriate, however, not all information was available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had a nasogastric tube in place, instructions around this were available in the medication room, however not documented or referenced in the care plan.  The resident was able to have some oral intake (as advised by the dietitian), however, the dietitian interventions and advice was not clearly identified in the care plan, and there was no risk or management of choking documented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Incident reports and wound management plans evidenced RN follow up.  Monitoring charts were in place for weight, vital signs, behaviours, neurological observations and restraint monitoring; however, these have not always been consistently completed as instructed in the care plan or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no interventions of NG tube management, advice from the dietitian, and associated risks documented in the care plan for caregivers to follow for a hospital level resident with intellectual disabilities.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Five of five unwitnessed falls did not have neurological observations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(iii). The turning chart not consistently completed for a hospital level resident with a current pressure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required information and instructions are documented in the care plans around the maintenance and management of the NG tube.</w:t>
            </w:r>
          </w:p>
          <w:p w:rsidR="00EB7645" w:rsidRPr="00BE00C7" w:rsidP="00BE00C7">
            <w:pPr>
              <w:pStyle w:val="OutcomeDescription"/>
              <w:spacing w:before="120" w:after="120"/>
              <w:rPr>
                <w:rFonts w:cs="Arial"/>
                <w:b w:val="0"/>
                <w:lang w:eastAsia="en-NZ"/>
              </w:rPr>
            </w:pPr>
            <w:r w:rsidRPr="00BE00C7">
              <w:rPr>
                <w:rFonts w:cs="Arial"/>
                <w:b w:val="0"/>
                <w:lang w:eastAsia="en-NZ"/>
              </w:rPr>
              <w:t>(ii)- (iii). Ensure all monitoring charts are completed as per policy or have been reviewed by an RN prior to discontinuing.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numbers of residents using restraint, or an enabler did not match records in the restraint folder.  A register is documented; however, this does not match the numbers of restraint and enablers stated by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folder and register is not well maintained with accurate numbers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an accurate record of restraint and enabler use maintained with relevant records retained.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Sunrise Healthcare Limited - West Harbour Gardens</w:t>
    </w:r>
    <w:bookmarkEnd w:id="58"/>
    <w:r>
      <w:rPr>
        <w:rFonts w:cs="Arial"/>
        <w:sz w:val="16"/>
        <w:szCs w:val="20"/>
      </w:rPr>
      <w:tab/>
      <w:t xml:space="preserve">Date of Audit: </w:t>
    </w:r>
    <w:bookmarkStart w:id="59" w:name="AuditStartDate1"/>
    <w:r>
      <w:rPr>
        <w:rFonts w:cs="Arial"/>
        <w:sz w:val="16"/>
        <w:szCs w:val="20"/>
      </w:rPr>
      <w:t>22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