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Elmswood Court Lifecare Limited - Elmswood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Elmswood Court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Elmswood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February 2020</w:t>
      </w:r>
      <w:bookmarkEnd w:id="7"/>
      <w:r w:rsidRPr="009418D4">
        <w:rPr>
          <w:rFonts w:cs="Arial"/>
        </w:rPr>
        <w:tab/>
        <w:t xml:space="preserve">End date: </w:t>
      </w:r>
      <w:bookmarkStart w:id="8" w:name="AuditEndDate"/>
      <w:r w:rsidR="00A4268A">
        <w:rPr>
          <w:rFonts w:cs="Arial"/>
        </w:rPr>
        <w:t>4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Elmswood Retirement Village is privately owned and provides rest home and hospital level care for up to 79 residents in the care centre and up to 33 rest home residents in the apartment studios.  On the day of the audit there were 76 residents in the care centre and no rest home residents in the studio apartments.</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  </w:t>
      </w:r>
    </w:p>
    <w:p w:rsidRPr="00A4268A">
      <w:pPr>
        <w:spacing w:before="240" w:line="276" w:lineRule="auto"/>
        <w:rPr>
          <w:rFonts w:eastAsia="Calibri"/>
        </w:rPr>
      </w:pPr>
      <w:r w:rsidRPr="00A4268A">
        <w:rPr>
          <w:rFonts w:eastAsia="Calibri"/>
        </w:rPr>
        <w:t xml:space="preserve">The facility manager (non-clinical) has been in her role for four years and she is supported by a clinical manager who has been in the role for three years and has experience in aged care management.  They are supported by a RN service coordinator and a RN rest home coordinator.  Residents, relatives and the GP interviewed were very complimentary of the services and care they receive.  </w:t>
      </w:r>
    </w:p>
    <w:p w:rsidRPr="00A4268A">
      <w:pPr>
        <w:spacing w:before="240" w:line="276" w:lineRule="auto"/>
        <w:rPr>
          <w:rFonts w:eastAsia="Calibri"/>
        </w:rPr>
      </w:pPr>
      <w:r w:rsidRPr="00A4268A">
        <w:rPr>
          <w:rFonts w:eastAsia="Calibri"/>
        </w:rPr>
        <w:t xml:space="preserve">This surveillance audit identified no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and risk policies describe Elmswood Retirement Village quality improvement processes.  Policies and procedures are maintained by a contracted aged care consultant who ensures they align with current good practice and meet legislative requirements.  Quality data is collated for infections, accident/incidents, concerns and complaints, internal audits and surveys.  Quality data is discussed at meetings and is documented in minutes.  The health and safety programme meets current legislative requirements.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viewed on the electronic system demonstrated service integration and were evaluated at least six monthly.  The general practitioner reviews the residents at least three monthly.  Allied health professionals are involved in the care of residents as required.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senior healthcare assistants are responsible for administration of medicines and complete annual education and medication competencies.  The electronic medicine charts reviewed met legislative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and planned maintenance programme in place.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coordinator is the clinical manager.  There were four residents using restraint, and no residents using an enabler on the day of audit.  Assessments, monitoring and regular evaluations had been completed for the restraint and the enabler.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clinical manager is the infection control coordinator.  The infection control programme and its content and detail are appropriate for the size, complexity and degree of risk associated with the service.  Information obtained through surveillance is used to determine infection control activities and education needs within the facility.  Staff complete annual training on infection control.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maintains an electronic record of all complaints, both verbal and written.  Documentation including follow-up letters and resolution, demonstrated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Ten complaints have been logged for 2019 and 2020 YTD.  All complaints documented a comprehensive investigation, follow-up, and replies to the complainant.  Complaints all included a section to confirm that the complainant was happy with the outcome.  Training and education sessions have been provided to staff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two registered nurses, five HCAs (one care lead), the diversional therapist, two activities coordinators, and the head chef could describe the procedure for directing complaints to the most senior person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Six residents interviewed (three rest home and three hospital) stated that they were welcomed on entry and were given time and explanation about the services and procedures.  The facility manager, clinical manager and rest home unit coordinator (RN) were available to residents and relatives and they promote an open-door policy.  Ten electronic incident forms reviewed for January 2020 evidenced that relatives had been notified on all occasions.  Three relatives (two rest home and one hospital) interviewed, advised that they are notified of incidents and when residents’ health status changes promptly.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fluently described instances where relatives would be notified.  Residents newsletters are sent quarterly, and staff newsletters are sent bi-monthly.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Elmswood Retirement Village provides care for up to 79 rest home and hospital level residents in the care facility.  There are 25 dual-purpose beds.  There are 33 studio apartments certified for rest home level of care.  On the day of audit there were 53 rest home residents including one respite care and 23 hospital level residents.  All residents were under the ARCC.  There were no rest home level of care residents in the studio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2019-2020 quality goals were evaluated against progress and achievements documented at the monthly quality meetings.  Quality goals for 2019 included (but not limited to) improving community engagement and socialisation, combining activities with Fendalton (sister home), reviewing emergency preparedness and procedures, improving staff training, commencing a staff wellness clinic.  The 2020 goals are in the process of being developed.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supported by a full-time facility manager (previously a psychiatric RN), who is now non-clinical and has been in the role for four years.  She has a business and management background in the health and disability sector.  A clinical manager with aged care experience has been in the role three years and has overall responsibility for clinical operations.  They are supported by a service coordinator (RN) and the rest home coordinator (RN).  The service coordinator oversees the studio apartments and supports management at both sites and is part of the quality team.  The rest home coordinator oversees the rest home unit and is also part of the quality team.</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attended at least eight hours of education within the last year, related to managing a rest home and hospital including attending an immigration forum, a managers’ seminar and regularly attends the ARCC forums.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attended an infection control study day at the DHB, syringe driver training, and also attends the ARCC forums.  The clinical manager accesses education sessions through the health learn online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the company’s quality improvement processes.  Quality management systems are linked to internal audits, incident and accident reporting, health and safety reporting, infection control data, surveys and complaints management.  Data collected, is analysed and compared monthly and annually for a range of adverse event data.  Where improvements are identified, corrective actions are developed, implemented and regularly evaluated.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committee meetings are held monthly, every second month there is a combined health and safety, infection control and restraint meeting.  The health and safety and infection control committees have representatives from all departments in the facility.  Quality data from all meetings are discussed at the monthly quality/risk meeting.  Meeting minutes evidenced quality data, trends and analysis including areas for improvement around infections, accidents and incidents, health and safety, restraints/enablers, concerns/complaints, internal audit outcomes and quality goals.  Benchmarking occurs against NZ industry standards.  Information is shared with all staff, as confirmed in meeting minutes and during interviews.  Staff receive a bi-monthly newsletter that includes quality data and statistics for infection control and accidents/incidents.  Staff meeting minutes are available to all staff on the on-line system.    </w:t>
            </w:r>
          </w:p>
          <w:p w:rsidR="00EB7645" w:rsidRPr="00BE00C7" w:rsidP="00BE00C7">
            <w:pPr>
              <w:pStyle w:val="OutcomeDescription"/>
              <w:spacing w:before="120" w:after="120"/>
              <w:rPr>
                <w:rFonts w:cs="Arial"/>
                <w:b w:val="0"/>
                <w:lang w:eastAsia="en-NZ"/>
              </w:rPr>
            </w:pPr>
            <w:r w:rsidRPr="00BE00C7">
              <w:rPr>
                <w:rFonts w:cs="Arial"/>
                <w:b w:val="0"/>
                <w:lang w:eastAsia="en-NZ"/>
              </w:rPr>
              <w:t>The contracted quality consultant visits Elmswood six monthly, completes both clinical and environmental internal audits and completes a report detailing corrective actions which are completed and signed off by the clinical manager when completed.  Corrective actions sighted had been completed and closed out as documented in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Annual satisfaction surveys are completed.  The results have been collated, analysed and discussed at meetings.  The 2019 rest home resident survey identified overall satisfaction with the service and 97% of respondents felt their expectations were met and the facility felt like home, this went up from 92% in 2018; 92% were happy with the meals and food services, this is similar to 2018 at 91%.  Areas for improvement were identified around the way the question is worded on the value of resident meetings as 42% of respondents answered, “don’t know”.  34% of residents were aware of the code of rights, this will be presented at three of the five meetings through the coming year.  Code of rights were printed and are available in resident rooms, and visible on noticeboards, this was relayed to relatives through newsletters.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resident survey identified 100% of respondents were happy with the catering services, up from 82% in 2018; 86% of respondents felt comfortable raising concerns or complaints, with 100% stating they had a satisfactory response in a timely manner.  Areas for improvement were identified around activities, and resident meetings.  The service plans to engage families to help residents to complete the surveys.  </w:t>
            </w:r>
          </w:p>
          <w:p w:rsidR="00EB7645" w:rsidRPr="00BE00C7" w:rsidP="00BE00C7">
            <w:pPr>
              <w:pStyle w:val="OutcomeDescription"/>
              <w:spacing w:before="120" w:after="120"/>
              <w:rPr>
                <w:rFonts w:cs="Arial"/>
                <w:b w:val="0"/>
                <w:lang w:eastAsia="en-NZ"/>
              </w:rPr>
            </w:pPr>
            <w:r w:rsidRPr="00BE00C7">
              <w:rPr>
                <w:rFonts w:cs="Arial"/>
                <w:b w:val="0"/>
                <w:lang w:eastAsia="en-NZ"/>
              </w:rPr>
              <w:t>Hospital and rest home next of kin surveys are also held annually.  Areas of satisfaction in the hospital included the staff, security and freedom, communication, housekeeping and maintenance.  Areas for improvement were identified around the meaningfulness of activities.  The corrective action included increasing communication with families around resident participation, and due to the 36% return rate, the service are looking at ways to remind families to complete the survey.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relatives survey identified satisfaction around staff, nursing care, housekeeping, catering, laundry, communication and activities.  Areas for improvement were identified around being aware of the code of rights, and dietary likes and dislikes.  Corrective actions included having the code of rights available in resident rooms and more visible in noticeboards and emphasising dietary preferences in the MDT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a risk management plan is in place.  The health and safety coordinator (HCA) and the facility manager (health and safety officer) were interviewed.  Committee meeting minute’s evidenced discussion on health and safety matters including accidents/incidents and hazard management.  A report is forwarded to the quality/risk committee.  Staff receive health and safety training during orientation and ongoing.  Actual and potential risks are documented on the hazard register, which identifies risk ratings and documents actions to eliminate or minimise the risk.  The hazard register was last updated in September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wireless sensor mats, and the development of specific falls management plans to meet the needs of each resident who is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collated online and benchmarked across comparable services.  Ten electronic resident-related accident/incident forms were reviewed.  Each event involving a resident reflected follow-up by a registered nurse.  Incidents are benchmarked and analysed for trends.  Neurological observations are conducted for suspected head injuries, and where possible opportunities to minimise future risks were identified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Notifications were made to Public Health following two outbreaks, one norovirus in June 2018 and one respiratory outbreak in June 2019.  Three section 31 notifications have been made since the certification audit for changes in management, following an intruder.  A section 31 notification was sent retrospectively for the outbreaks in 2018 and 2019 where all other agencies were appropriately notified at the time.  The service has now reviewed the outbreak checklist to include section 31 notification.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Six staff files reviewed (clinical manager, rest home coordinator, one activities coordinator, one chef, and two healthcare assistants (HCAs) evidenced implementation of the recruitment process, employment contracts, completed orientation and annual performance appraisals.  A register of practising certificates was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annually, and a record of completion is maintained (signed competency questionnaires sighted in reviewed files included: fire assessments (all staff) fire warden training (senior staff) medications and second checker competency, restraint, infection control, ceiling hoists and manual handling, simple wounds, and hand hygiene).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The healthcare assistants undertake aged care education (Careerforce).  Currently eight HCAs have level 3 NZQA and eight have equivalent qualifications.  Three have level 4 NZQA and 11 have equivalent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Elmswood have been looking at ways to make education sessions more accessible to staff as low attendance rates had been identified.  They now have access to a web-based system which staff have access to.  Training sessions are held at each staff meeting, if staff are unable to attend, they have a set period of time to complete the online sessions.  This is boosting attendance rates and staff interviewed reported they enjoy having the online education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and training for clinical staff is linked to external education provided by the district health board.  RN specific training viewed included: syringe driver, wound care, and first aid.  All six RNs are competent in interRAI.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clinical manager and rest home coordinator are full-time Monday to Friday.  The service coordinator works 9 am to 3.30 pm Monday to Thursday.  Residents, relatives and staff interviewed stated there were sufficient numbers of staff on duty to safely deliver residents cares. </w:t>
            </w:r>
          </w:p>
          <w:p w:rsidR="00EB7645" w:rsidRPr="00BE00C7" w:rsidP="00BE00C7">
            <w:pPr>
              <w:pStyle w:val="OutcomeDescription"/>
              <w:spacing w:before="120" w:after="120"/>
              <w:rPr>
                <w:rFonts w:cs="Arial"/>
                <w:b w:val="0"/>
                <w:lang w:eastAsia="en-NZ"/>
              </w:rPr>
            </w:pPr>
            <w:r w:rsidRPr="00BE00C7">
              <w:rPr>
                <w:rFonts w:cs="Arial"/>
                <w:b w:val="0"/>
                <w:lang w:eastAsia="en-NZ"/>
              </w:rPr>
              <w:t>There are 23 hospital level residents in the hospital.  On the morning and afternoon shifts in the hospital wing there is one RN, four HCAs; 2x HCAs (one senior) from 7 am to 3 pm, and two 7 am to 1.30 pm.  The afternoon shift has an RN and four HCAs rostered, 2x 3 pm to 11 pm and 2x 4 pm to 9 pm.  Night shift has an RN, 10.45 pm to 7 am and two HCAs, 11 pm to 7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there are 53 rest home residents.  On mornings there is one care lead (senior HCA) from 6.45 am to 3.15 pm, 1x HCA from 7 am to 3 pm and 2x HCAs from 7 am to 1.30 pm.  The afternoon shift has a team leader from 3 pm to 11 pm, 1x HCA 3 pm to 11 pm and 2x HCA 4.30 pm to 9 pm.  Night shift is covered with one team leader 10.45 pm to 7 am and 1x HCA 11 pm to 7 am.  The rest home staff are available to answer call bells for the studios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leader in the studio apartments in the mornings from 6.45 am to 3.15 pm.  One HCA in the afternoon from 3 pm to 10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there were sufficient numbers of staff on duty to safely deliver residents cares.  Staff interviewed felt there was sufficient staff on duty and report low usage of agency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an electronic medication system.  Clinical staff who administer medications (RNs and senior healthcare assistants) have been assessed for competency on an annual basis and attend annual medication education.  The registered nurses have completed syringe driver education and competency.  All medication in blister packs is checked on delivery by the RN against the medication chart.  The RN signs a mediation reconciliation checklist and any discrepancies are fed back to the supplying pharmacy.  All medication is stored safely in the designated medication areas in the rest home and hospital unit.  Medication fridges in both areas are maintained within the acceptable temperature range.  Medication room air temperature monitoring is in place.  All eye drops and ointments were dated on opening.  There was one rest home and no hospital residents self-medicating on the day of audit.  Self-medication competencies had been completed and reviewed three monthly (sighted on the electronic system).  The hospital bulk supply order (for hospital residents) is checked regularly for stock levels and expiry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reviewed (six rest home and six hospital level residents) on the electronic medication system, had photo identification and allergy status noted.  The effectiveness of ‘as required’ medications had been documented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the service are prepared and cooked on site.  The head chef is supported by a second chef, preparation chef, morning and afternoon kitchenhands.  The five-weekly summer menu has been reviewed by a dietitian May 2019.  The main meal is in the evening.  Alternatives are provided for the midday and evening meal.  Meals are prepared in a well-appointed kitchen adjacent to the rest home dining room and served directly to residents in the dining room.  Meals are plated and delivered to the hospital kitchenette in heated scan boxes.  Staff were observed delivering meals and assisting residents with their lunch time meals as required.  The head chef receives dietary profiles for each resident and notified of any dietary changes.  The service provides pureed/soft, diary free and diabetic desserts.  Food allergies, dislikes, cultural and religious preferences are accommodated.  Fluids including Complan and smoothies are readily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are trained in safe food handling, and food safety procedures were adhered to.  The food control plan expires March 2021.  Fridge, freezer, chiller and end cooked temperatures are taken and recorded daily.  All foods were date labelled.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allowed for the opportunity for resident feedback on the meals and food services generally.  Interviews with residents and family members indicated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consultation.  There is documented evidence in the electronic progress notes and correspondence section of family/whānau contact in each resident file that indicates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An online wound register is maintained.  Wound assessments, treatment plans and ongoing evaluations were in place for nine hospital residents (skin tears, chronic venous ulcers, infected toe) and 11 rest home residents (skin tears, non-healing lesions, abrasions and chronic leg wound).  There were two rest home residents with facility acquired pressure injuries (one stage one toe and one stage two ankle) and one hospital level resident with a stage two sacrum.  All chronic wounds and pressure injuries were linked to the long-term care plan.  Nurse Maude wound specialist has been involved in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identified in resident files and include a urinary continence assessment, bowel management, and continence products identified.  There is access to a continence nurse specialist by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Electronic monitoring forms are used for weight, vital signs, blood sugar levels, pain, challenging behaviour, food and fluid charts, repositioning, 30-minute checks, daily input charts, restraint monitoring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employs a diversional therapist (DT), and three activity coordinators to coordinate and implement the rest home and hospital level activity programme Monday to Friday from 9 am to 3 pm.  There are volunteers involved in the programme for church services and one on one chats and reminiscing with residents and other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DT has completed a physiotherapy assistance course and takes musical exercises for hospital level residents.  Rest home residents enjoy a variety of exercises to music and dance.  Activities reflect the physical and psychosocial well-being of the residents with specific activities for each care level such as newspaper reading, arts and crafts, board games, quizzes, knitting and sing-a-longs.  One on one activities such as individual walks, reading and chats and hand massage occur for residents who choose not to be involved in group activities.  There are many integrated activities for all residents to attend such as entertainment, gardening club, walking group, animal farmyard and birthday afternoons.  Community visitors include pre-school children, Japanese choir, guest speakers and entertainers.  Themes and events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 for rest home and hospital level residents including library visits, inter-home visits and scenic drives.  The men’s group attendance has increased with men joining from all areas of the service including apartments and village.  Weekend activities are set and are resident led such as movies and sports on TV.  There is a resource trolley available with a variety of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resident profile is completed on admission.  Electronic resident files include a personalised activity plan which is evaluated at the same time as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two monthly resident meetings, direct feedback from residents and families and annual surveys.  Residents and families interviewed were very satisfied with the activity programme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RNs within three weeks of admission and a long-term care plan developed.  Care plans had been evaluated six monthly for long-term residents who had been at the service six months.  Written evaluations were identified if the desired goals had been met or unmet.  The GP reviews the residents at least three monthly or earlier if required.  Short-term care plans reviewed had been evaluated at regular intervals.  Ongoing nursing evaluations occur as indicated and are documented within the progress notes.  Families (interviewed) confirmed they are invited to attend the six-monthly care plan evaluation.  This was evidenced in the electronic correspondence section.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1 April 2020.  Daily maintenance requests are addressed.  There is a monthly maintenance plan, which includes monthly and 6 monthly checks, (eg, hot water temperature, call bells, resident equipment and safety checks).  Medical equipment and electrical appliances have been tested and tagged and calibrated.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 hospital unit has ceiling hoists available in every room.  There is safe access to the outdoor areas and courtyards on the ground floor.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Come of the studio apartments have been vacated and safely cordoned off in preparation for earthquake repairs.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(clinical manager) collates information obtained through surveillance to determine infection control activities and education needs in the facility.  Infection control data is discussed at the monthly quality meeting, bi-monthly infection control meeting and staff meetings.  Data and graphs of infection events are available to staff.  The service completes monthly, six monthly and annual comparisons of infection rates for types of infections.  Trends are identified, analysed and preventative measures put in place.  </w:t>
            </w:r>
          </w:p>
          <w:p w:rsidR="00EB7645" w:rsidRPr="00BE00C7" w:rsidP="00BE00C7">
            <w:pPr>
              <w:pStyle w:val="OutcomeDescription"/>
              <w:spacing w:before="120" w:after="120"/>
              <w:rPr>
                <w:rFonts w:cs="Arial"/>
                <w:b w:val="0"/>
                <w:lang w:eastAsia="en-NZ"/>
              </w:rPr>
            </w:pPr>
            <w:r w:rsidRPr="00BE00C7">
              <w:rPr>
                <w:rFonts w:cs="Arial"/>
                <w:b w:val="0"/>
                <w:lang w:eastAsia="en-NZ"/>
              </w:rPr>
              <w:t>Elmswood were awarded a continuous improvement around the management of urinary tract infections, which they continue to monitor.  Elmswood has been successful in continuing to reduce urinary tract infections in the rest home from 3.32 per 1000 bed days on 2017, 1.35 per 1000 bed days in 2018 and 0.98 per 1000 bed days in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results were 3.6 per 1000 bed days in 2017, 1.09 in 2018 and up slightly in 2019 to 2.01.  The data was analysed, and the findings identified a change in residents’ status with recently admitted residents admitted with higher complexities.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outbreaks (Norovirus in 2018 and respiratory in 2019) were well managed and documented and timely notifications were made.  All staff were updated daily with logs maintained.  A debrief meeting was held post outbreaks and the outbreaks were discussed at meetings (sighted in the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of any restraint and enablers is reviewed through internal audits, RN and facility meetings.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four residents using restraint and no residents using an enabler.  The resident files had signed consent forms with evidence of GP, clinical manager and relative input, all risks associated with its use were identified and managed.  Two hourly checks were documented, and interventions were included in the care plans.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Elmswood Court Lifecare Limited - Elmswood Retirement Village</w:t>
    </w:r>
    <w:bookmarkEnd w:id="58"/>
    <w:r>
      <w:rPr>
        <w:rFonts w:cs="Arial"/>
        <w:sz w:val="16"/>
        <w:szCs w:val="20"/>
      </w:rPr>
      <w:tab/>
      <w:t xml:space="preserve">Date of Audit: </w:t>
    </w:r>
    <w:bookmarkStart w:id="59" w:name="AuditStartDate1"/>
    <w:r>
      <w:rPr>
        <w:rFonts w:cs="Arial"/>
        <w:sz w:val="16"/>
        <w:szCs w:val="20"/>
      </w:rPr>
      <w:t>4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