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Churtonleigh</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Churtonleigh</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February 2020</w:t>
      </w:r>
      <w:bookmarkEnd w:id="7"/>
      <w:r w:rsidRPr="009418D4">
        <w:rPr>
          <w:rFonts w:cs="Arial"/>
        </w:rPr>
        <w:tab/>
        <w:t xml:space="preserve">End date: </w:t>
      </w:r>
      <w:bookmarkStart w:id="8" w:name="AuditEndDate"/>
      <w:r w:rsidR="00A4268A">
        <w:rPr>
          <w:rFonts w:cs="Arial"/>
        </w:rPr>
        <w:t>5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Ultimate Care Group Limited - Ultimate Care Churtonleigh is certified to provide care for 36 residents at rest home and hospital levels of care. There were 31 residents at the facility on the first day of the audit.</w:t>
      </w:r>
    </w:p>
    <w:p w:rsidRPr="00A4268A">
      <w:pPr>
        <w:spacing w:before="240" w:line="276" w:lineRule="auto"/>
        <w:rPr>
          <w:rFonts w:eastAsia="Calibri"/>
        </w:rPr>
      </w:pPr>
      <w:r w:rsidRPr="00A4268A">
        <w:rPr>
          <w:rFonts w:eastAsia="Calibri"/>
        </w:rPr>
        <w:t xml:space="preserve">This surveillance audit was conducted against the relevant Health and Disability Service Standards and the service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residents, management, staff, and a general practitioner.</w:t>
      </w:r>
    </w:p>
    <w:p w:rsidRPr="00A4268A">
      <w:pPr>
        <w:spacing w:before="240" w:line="276" w:lineRule="auto"/>
        <w:rPr>
          <w:rFonts w:eastAsia="Calibri"/>
        </w:rPr>
      </w:pPr>
      <w:r w:rsidRPr="00A4268A">
        <w:rPr>
          <w:rFonts w:eastAsia="Calibri"/>
        </w:rPr>
        <w:t xml:space="preserve">There were no areas requiring improvement at the previous certification audit. </w:t>
      </w:r>
    </w:p>
    <w:p w:rsidRPr="00A4268A">
      <w:pPr>
        <w:spacing w:before="240" w:line="276" w:lineRule="auto"/>
        <w:rPr>
          <w:rFonts w:eastAsia="Calibri"/>
        </w:rPr>
      </w:pPr>
      <w:r w:rsidRPr="00A4268A">
        <w:rPr>
          <w:rFonts w:eastAsia="Calibri"/>
        </w:rPr>
        <w:t>There are areas identified as requiring improvement at this audit relating to: corrective action plans; unwitnessed falls and staff performance reviews.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is made available to residents and family on the resident’s admission and at the facility. </w:t>
      </w:r>
    </w:p>
    <w:p w:rsidRPr="00A4268A">
      <w:pPr>
        <w:spacing w:before="240" w:line="276" w:lineRule="auto"/>
        <w:rPr>
          <w:rFonts w:eastAsia="Calibri"/>
        </w:rPr>
      </w:pPr>
      <w:r w:rsidRPr="00A4268A">
        <w:rPr>
          <w:rFonts w:eastAsia="Calibri"/>
        </w:rPr>
        <w:t>Open communication between staff, residents and families is conducted. There is access to formal interpreting services if required.</w:t>
      </w:r>
    </w:p>
    <w:p w:rsidRPr="00A4268A">
      <w:pPr>
        <w:spacing w:before="240" w:line="276" w:lineRule="auto"/>
        <w:rPr>
          <w:rFonts w:eastAsia="Calibri"/>
        </w:rPr>
      </w:pPr>
      <w:r w:rsidRPr="00A4268A">
        <w:rPr>
          <w:rFonts w:eastAsia="Calibri"/>
        </w:rPr>
        <w:t>Residents, family and the general practitioner’s interviews confirmed that the environment is conducive to communication, including identification of any issues.</w:t>
      </w:r>
    </w:p>
    <w:p w:rsidRPr="00A4268A">
      <w:pPr>
        <w:spacing w:before="240" w:line="276" w:lineRule="auto"/>
        <w:rPr>
          <w:rFonts w:eastAsia="Calibri"/>
        </w:rPr>
      </w:pPr>
      <w:r w:rsidRPr="00A4268A">
        <w:rPr>
          <w:rFonts w:eastAsia="Calibri"/>
        </w:rPr>
        <w:t>There is a documented complaints management system and a complaints register is maintained. Complaints are investigated and documented, with corrective actions implemented where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Ultimate Care Group Limited is the governing body responsible for the services provided at Ultimate Care Churtonleigh. The mission and values of the organisation are documented and communicated to all concerned. </w:t>
      </w:r>
    </w:p>
    <w:p w:rsidRPr="00A4268A">
      <w:pPr>
        <w:spacing w:before="240" w:line="276" w:lineRule="auto"/>
        <w:rPr>
          <w:rFonts w:eastAsia="Calibri"/>
        </w:rPr>
      </w:pPr>
      <w:r w:rsidRPr="00A4268A">
        <w:rPr>
          <w:rFonts w:eastAsia="Calibri"/>
        </w:rPr>
        <w:t>The facility is managed by an appropriately qualified and experienced facility manager. A clinical services manager provides oversight of clinical service provision and is supported by a team of registered nurses. The management team is supported by the Ultimate Care Group regional manager.</w:t>
      </w:r>
    </w:p>
    <w:p w:rsidRPr="00A4268A">
      <w:pPr>
        <w:spacing w:before="240" w:line="276" w:lineRule="auto"/>
        <w:rPr>
          <w:rFonts w:eastAsia="Calibri"/>
        </w:rPr>
      </w:pPr>
      <w:r w:rsidRPr="00A4268A">
        <w:rPr>
          <w:rFonts w:eastAsia="Calibri"/>
        </w:rPr>
        <w:t>The Ultimate Care Group Limited’s quality and risk management system is implemented and supports the provision of clinical care and quality improvement within the facility. Policies and procedures are reviewed and current. There is reporting of service delivery data and related indicators by the facility manager to the national support office for the monitoring of service delivery within the facility.</w:t>
      </w:r>
    </w:p>
    <w:p w:rsidRPr="00A4268A">
      <w:pPr>
        <w:spacing w:before="240" w:line="276" w:lineRule="auto"/>
        <w:rPr>
          <w:rFonts w:eastAsia="Calibri"/>
        </w:rPr>
      </w:pPr>
      <w:r w:rsidRPr="00A4268A">
        <w:rPr>
          <w:rFonts w:eastAsia="Calibri"/>
        </w:rPr>
        <w:t xml:space="preserve">Adverse events are documented and where required corrective actions are implemented. Actual and potential risks, including health and safety risks, are identified and mitigated. </w:t>
      </w:r>
    </w:p>
    <w:p w:rsidRPr="00A4268A">
      <w:pPr>
        <w:spacing w:before="240" w:line="276" w:lineRule="auto"/>
        <w:rPr>
          <w:rFonts w:eastAsia="Calibri"/>
        </w:rPr>
      </w:pPr>
      <w:r w:rsidRPr="00A4268A">
        <w:rPr>
          <w:rFonts w:eastAsia="Calibri"/>
        </w:rPr>
        <w:t>New staff undertake orientation appropriate to their role. Practising certificates for staff and contractors who require them are validated annually. An annual training programme is implemented.</w:t>
      </w:r>
    </w:p>
    <w:p w:rsidRPr="00A4268A">
      <w:pPr>
        <w:spacing w:before="240" w:line="276" w:lineRule="auto"/>
        <w:rPr>
          <w:rFonts w:eastAsia="Calibri"/>
        </w:rPr>
      </w:pPr>
      <w:r w:rsidRPr="00A4268A">
        <w:rPr>
          <w:rFonts w:eastAsia="Calibri"/>
        </w:rPr>
        <w:t>A review of rosters and staff, resident and family interviews confirmed that there is adequate staff available.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files reviewed evidenced risk assessments and initial care plans were completed on admission. Desired outcomes and goals of residents were documented in files reviewed. The general practitioner documentation included regular reviews and timely interventions. The general practitioner reported that the clinical team were competent. The general practitioner stated there is regular communication and family are invited to participate in general practitioner reviews, including three monthly reviews. Family communication is documented in the resident’s clinical file. Residents’ progress notes and observation charts are maintained. Clinical handovers occur at the beginning of each shift. </w:t>
      </w:r>
    </w:p>
    <w:p w:rsidRPr="00A4268A" w:rsidP="00621629">
      <w:pPr>
        <w:spacing w:before="240" w:line="276" w:lineRule="auto"/>
        <w:rPr>
          <w:rFonts w:eastAsia="Calibri"/>
        </w:rPr>
      </w:pPr>
      <w:r w:rsidRPr="00A4268A">
        <w:rPr>
          <w:rFonts w:eastAsia="Calibri"/>
        </w:rPr>
        <w:t xml:space="preserve">All interRAI assessments in files reviewed were completed within the required timeframes. There was evidence the interRAI informs the long-term care plan. </w:t>
      </w:r>
    </w:p>
    <w:p w:rsidRPr="00A4268A" w:rsidP="00621629">
      <w:pPr>
        <w:spacing w:before="240" w:line="276" w:lineRule="auto"/>
        <w:rPr>
          <w:rFonts w:eastAsia="Calibri"/>
        </w:rPr>
      </w:pPr>
      <w:r w:rsidRPr="00A4268A">
        <w:rPr>
          <w:rFonts w:eastAsia="Calibri"/>
        </w:rPr>
        <w:t xml:space="preserve">The planned activities are provided by a diversional therapist and assistant on a one-on-one basis and in group settings. The residents interviewed indicated satisfaction with the activities programme. </w:t>
      </w:r>
    </w:p>
    <w:p w:rsidRPr="00A4268A" w:rsidP="00621629">
      <w:pPr>
        <w:spacing w:before="240" w:line="276" w:lineRule="auto"/>
        <w:rPr>
          <w:rFonts w:eastAsia="Calibri"/>
        </w:rPr>
      </w:pPr>
      <w:r w:rsidRPr="00A4268A">
        <w:rPr>
          <w:rFonts w:eastAsia="Calibri"/>
        </w:rPr>
        <w:t>An appropriate medication management system is in place. There is a current medication competency register for staff responsible for administration of medications. In-service education sessions are provided for all staff responsible for medication management and administration.</w:t>
      </w:r>
    </w:p>
    <w:p w:rsidRPr="00A4268A" w:rsidP="00621629">
      <w:pPr>
        <w:spacing w:before="240" w:line="276" w:lineRule="auto"/>
        <w:rPr>
          <w:rFonts w:eastAsia="Calibri"/>
        </w:rPr>
      </w:pPr>
      <w:r w:rsidRPr="00A4268A">
        <w:rPr>
          <w:rFonts w:eastAsia="Calibri"/>
        </w:rPr>
        <w:t xml:space="preserve">Food and nutritional needs of residents are delivered in line with accepted nutritional guidelines.  A central kitchen and on-site staff provide the food service. Records of staff training validated completion of food safety training. The food control plan is current.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Ultimate Care Churtonleigh has a current building warrant of fitness displayed in the facility. There have been no alterations or additions to the buildings at this facility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uses facility policies and procedures to meet the standards for restraint minimisation and enabler use. Review of the documents and an interview with the restraint coordinator confirmed there are systems in place to ensure enabler use is voluntary. Assessments were undertaken prior to enabler use. The use of enablers was documented in the residents’ care plans.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policies and procedure guidelines are incorporated into the facility infection prevention and minimisation programme. </w:t>
      </w:r>
    </w:p>
    <w:p w:rsidRPr="00A4268A">
      <w:pPr>
        <w:spacing w:before="240" w:line="276" w:lineRule="auto"/>
        <w:rPr>
          <w:rFonts w:eastAsia="Calibri"/>
        </w:rPr>
      </w:pPr>
      <w:r w:rsidRPr="00A4268A">
        <w:rPr>
          <w:rFonts w:eastAsia="Calibri"/>
        </w:rPr>
        <w:t>Staff are familiar with infection control measures. New employees are provided with training in infection control.</w:t>
      </w:r>
    </w:p>
    <w:p w:rsidRPr="00A4268A">
      <w:pPr>
        <w:spacing w:before="240" w:line="276" w:lineRule="auto"/>
        <w:rPr>
          <w:rFonts w:eastAsia="Calibri"/>
        </w:rPr>
      </w:pPr>
      <w:r w:rsidRPr="00A4268A">
        <w:rPr>
          <w:rFonts w:eastAsia="Calibri"/>
        </w:rPr>
        <w:t>The infection control surveillance data confirmed the surveillance programme is appropriate for the facility. Surveillance of infections includes collation of data, analysis and benchmarking within Ultimate Care Group.</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94"/>
        <w:gridCol w:w="1280"/>
        <w:gridCol w:w="95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complaints policy and process to ensure that complaints are managed in line with Right 10 of the Health and Disability Commissioner’s Code of Health and Disability Services Consumers’ Rights (the Code). The complaints information is included in the welcome pack provided to residents and their families on admission to the facility. Complaint forms are available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interviews confirmed awareness of the complaints process and their right to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is responsible for complaints management. Complaints reviewed demonstrated that complaints are responded to within the required timeframes, investigated, corrective actions implemented and closed out when resolved.</w:t>
            </w:r>
          </w:p>
          <w:p w:rsidR="00EB7645" w:rsidRPr="00BE00C7" w:rsidP="00BE00C7">
            <w:pPr>
              <w:pStyle w:val="OutcomeDescription"/>
              <w:spacing w:before="120" w:after="120"/>
              <w:rPr>
                <w:rFonts w:cs="Arial"/>
                <w:b w:val="0"/>
                <w:lang w:eastAsia="en-NZ"/>
              </w:rPr>
            </w:pPr>
            <w:r w:rsidRPr="00BE00C7">
              <w:rPr>
                <w:rFonts w:cs="Arial"/>
                <w:b w:val="0"/>
                <w:lang w:eastAsia="en-NZ"/>
              </w:rPr>
              <w:t>The FM stated there had not been any complaints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open disclosure policy is documented and implemented. Accident/incident forms, residents’ clinical records and resident and family interviews confirmed that information is shared whenever a resident has an accident/incident; a change in health status or a change in their needs level. Family contact is recorded on accident/incident forms and in residents’ clinical records.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meetings inform residents and their family of events and activities, as confirmed in review of the residents’ and family meeting minutes. The facility produces a newsletter to inform residents and family of past and future events and the facility’s news. Residents and family members confirmed that they are kept informed and communication is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when this is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Ultimate Care Group Limited (UCG) mission and values of the organisation are documented and communicated to all concerned through the facility’s information pack provided to residents and their families on admission to the facility. New staff receive this information at their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Churtonleigh (Churtonleigh) is part of UCG. The organisation’s direction and goals are documented and reviewed by national, regional and facility management. The Churtonleigh FM reports to a regional manager. The regional manager provided support to the facility during this surveillance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executive management team at the UCG national support office receive monthly progress reports against identified indicators from the FM. Benchmarking against other UCG facilities occurs at a national level. </w:t>
            </w:r>
          </w:p>
          <w:p w:rsidR="00EB7645" w:rsidRPr="00BE00C7" w:rsidP="00BE00C7">
            <w:pPr>
              <w:pStyle w:val="OutcomeDescription"/>
              <w:spacing w:before="120" w:after="120"/>
              <w:rPr>
                <w:rFonts w:cs="Arial"/>
                <w:b w:val="0"/>
                <w:lang w:eastAsia="en-NZ"/>
              </w:rPr>
            </w:pPr>
            <w:r w:rsidRPr="00BE00C7">
              <w:rPr>
                <w:rFonts w:cs="Arial"/>
                <w:b w:val="0"/>
                <w:lang w:eastAsia="en-NZ"/>
              </w:rPr>
              <w:t>The FM has been in this role for approximately three years and has past experience as a registered nurse (RN), however does not hold a current practising certificate. The FM is supported by a clinical services manager (CSM) who has been in the role for approximately two years. Prior to this role, the CSM worked in aged residential care as an RN and CSM at other aged care facilities. The CSM is supported by a team of RNs and the regional manager.</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and hospital levels of care for up to 36 residents. The facility has two apartments certified for rest home level of care only and the rest of the residents’ rooms are dual purpose rooms. There were 31 beds occupied on the first day of the audit. Occupancy included: 20 residents requiring rest home level care and 11 residents requiring hospital level care. These numbers included: three rest home level respite care residents. The facility holds contracts with the district health board (DHB) for aged related residential care contract for rest home, hospital care and respite care. The facility does not have occupational right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 is accessed by staff and management to guide service delivery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national UCG management group reviews all policies with input from relevant personnel. Policies and procedures align with the Health and Disability Services Standards (refer to 1.2.4.3). New and revised policies are presented to staff and staff interviews confirmed that they are made aware of new and updated policies.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are completed according to the UCG schedule, however; corrective actions, evidence of implementation of the corrective actions and sign off, are not always documented. Facility meetings occur as per the meeting schedule. Quality data is discussed at staff meetings. However, some meeting minutes do not reflect all areas of quality improvement information required.</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are completed annually. Resident and family satisfaction surveys results for 2019 show overall satisfaction with the facility. The corrective actions required from the 2019 satisfaction survey are in a process of being written, confirmed at FM and regional manager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and procedures are documented along with a hazard management programme. Staff interviews confirmed an awareness of health and safety processes and their responsibilities to report hazards, accidents and incidents promptly.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management team are aware of situations which require reporting to statutory authorities, including: unexpected deaths; police involvement; sentinel events; infectious disease outbreaks and changes in key management roles. These are reported to the appropriate authority via UCG national support office staff. Since the previous audit the appointment of the CSM and one resident event had been notified to the HealthCERT (both section 31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adverse event reporting process and evidence adverse events are reported. A review of documentation confirmed that staff document adverse, unplanned or untoward events on accident/incident forms, which are signed off by the FM or the CSM. Information is also entered on the UCG electronic database of accidents/incidents. All accident/incidents reviewed demonstrated that the resident’s family had been notified. This was confirmed in family and resident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that staff receive education at orientation and in the staff training programme on accident/incident reporting processes and they are aware of their responsibility to report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reports reviewed evidenced that where a resident had sustained an injury or a fall for example; the RN had undertaken a physical assessment of the resident, such as a skin assessment, a falls assessment, blood pressure and neurological assessment where appropriate. However, neurological observations did not reflect best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documented and meet the requirements of legislation. The skills and knowledge required for each position are documented in job descriptions. Staff files reviewed demonstrated that recruitment processes for all staff include: reference checks; police vetting; a position specific job description; a signed employment agreement and, where required, a valid work visa.</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certificates and practitioners’ certificates are current. Current certificates were evidenced for all staff and contractors that required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Care givers (CG) are buddied with an experienced staff member until they demonstrate competency on specific tasks, for example: resident cares; hand hygiene; moving and handling.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CSM and two other RNs have completed interRAI assessments training and competencies. Two RNs are currently undergoing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that includes topics relevant to the levels of care provided. Education session attendance records evidence that ongoing education is provided relevant to the services delivered. Interviews and training records sampled confirmed that staff undertake at least eight hours of relevant education per year.</w:t>
            </w:r>
          </w:p>
          <w:p w:rsidR="00EB7645" w:rsidRPr="00BE00C7" w:rsidP="00BE00C7">
            <w:pPr>
              <w:pStyle w:val="OutcomeDescription"/>
              <w:spacing w:before="120" w:after="120"/>
              <w:rPr>
                <w:rFonts w:cs="Arial"/>
                <w:b w:val="0"/>
                <w:lang w:eastAsia="en-NZ"/>
              </w:rPr>
            </w:pPr>
            <w:r w:rsidRPr="00BE00C7">
              <w:rPr>
                <w:rFonts w:cs="Arial"/>
                <w:b w:val="0"/>
                <w:lang w:eastAsia="en-NZ"/>
              </w:rPr>
              <w:t>Staff who have been employed for less than one year had completed an orientation review three months post commencement of their employment. Not all staff files reviewed evidenced that staff employed for greater than one year have completed a current performance appraisal.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facility’s staff rosters are planned to ensure the residents’ care requirements are met. There are RNs and CG available to maintain the rosters for the provision of care. Rosters sighted reflected adequate staffing levels to meet current resident acuity and bed occupancy. There is a RN on each shift seven days per week, supported by CGs on morning, afternoon and night shifts.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and CSM work on morning shifts and share on call after hours, seven days a week. Observation of service delivery confirmed that residents’ needs are being met. Resident, family and general practitioner (GP) interviews stated that they noticed staff to be busy at times, but felt resident needs are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storage room included and evidenced, drug storage and a secure medicine dispensing system in accordance with legislation and standards. Medications are stored in their original dispensed packs in secure trolleys.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drug register is maintained and evidenced weekly checks, and six-monthly physical and pharmacist stocktakes. The medication fridge temperatures are monitored and recorded.  </w:t>
            </w:r>
          </w:p>
          <w:p w:rsidR="00EB7645" w:rsidRPr="00BE00C7" w:rsidP="00BE00C7">
            <w:pPr>
              <w:pStyle w:val="OutcomeDescription"/>
              <w:spacing w:before="120" w:after="120"/>
              <w:rPr>
                <w:rFonts w:cs="Arial"/>
                <w:b w:val="0"/>
                <w:lang w:eastAsia="en-NZ"/>
              </w:rPr>
            </w:pPr>
            <w:r w:rsidRPr="00BE00C7">
              <w:rPr>
                <w:rFonts w:cs="Arial"/>
                <w:b w:val="0"/>
                <w:lang w:eastAsia="en-NZ"/>
              </w:rPr>
              <w:t>Staff authorised to administer medications have current competencies. The medication round was observed and evidenced the staff member was knowledgeable about the medication administered. Protocols and procedures were followed.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medication charts evidenced current resident’s photograph identification. The regular medications for each resident are recorded, including the name of the medication, dose, frequency and route.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required (PRN) medication, indications for use and maximum doses were recorded. Allergies were recorded and three- monthly reviews were conducted by the GP.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 -administering medications at the time of the on-site audit. A policy is in place should a resident be assessed as able to self-medicate.</w:t>
            </w:r>
          </w:p>
          <w:p w:rsidR="00EB7645" w:rsidRPr="00BE00C7" w:rsidP="00BE00C7">
            <w:pPr>
              <w:pStyle w:val="OutcomeDescription"/>
              <w:spacing w:before="120" w:after="120"/>
              <w:rPr>
                <w:rFonts w:cs="Arial"/>
                <w:b w:val="0"/>
                <w:lang w:eastAsia="en-NZ"/>
              </w:rPr>
            </w:pPr>
            <w:r w:rsidRPr="00BE00C7">
              <w:rPr>
                <w:rFonts w:cs="Arial"/>
                <w:b w:val="0"/>
                <w:lang w:eastAsia="en-NZ"/>
              </w:rPr>
              <w:t>Residents who are in the facility for respite care have an individual folder and a paper chart. The medications are recorded and signed for by the individual resident’s GP. The regular and PRN medications are signed as administered on a signing sheet by an authorised staff member.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an on-site kitchen and staff to provide the food service. Menus are reviewed six-monthly and there was evidence of dietitian input.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dietary requirements are identified on admission, documented and communicated to kitchen staff. The cook and kitchen staff interviewed confirmed they were aware of the resident’s individual dietary requirements. Residents’ dietary needs were reviewed as required if there was a change in a resident’s need or health status as identified at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evidenced monthly recording of individual resident’s weight. In interviews residents stated they were satisfied with the food service and their individual dietary preferences were met. The residents stated there were adequate amounts of food and fluids. Residents are provided with the opportunity to feed back on the food service at resident meetings and through resident surveys. Adequate crockery and specialised equipment for residents who required this was evidenced.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Nutritional supplements made up in the kitchen evidenced expiry dates were recorded. Decanted food is dated and expiry dates are documented. Food temperatures are recorded. The fridges, chillers and freezer temperatures are monitored and documented, including fridges in residents’ rooms and lounges. The kitchen was observed to be clean and fit for purpose. Hand washing equipment, gloves and hats were available. There was evidence of a maintained kitchen cleaning roster.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safety training and the food safety plan was recorded and current.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evidenced interventions based on assessed needs and individualised desired outcomes.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families confirmed the care and treatment delivered met their needs. Contact and links to community services are maintained. Staff interviewed evidenced familiarity with the needs of the residents they were allocated to. Family communication is recorded in the resident’s file. Progress notes, GP records and observation charts reviewed were current.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divisional therapist (DT) and one assistant provide a total of twelve hours planned activities per week. There is one activities programme which includes rest home and hospital residents. The activities programme is reviewed and updated monthly. An activities meeting is held quarterly and includes input from the DT, RN and other clinical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areas throughout the facility where recreational activities are provided. The programme includes daily exercises, cognitive, social, and one-on-one and group activities. Religious events are celebrated and external agencies are incorporated into the programme. Residents are encouraged to attend but the activities programme is voluntary.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 individualised activities assessments and care plans, as evidenced in the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is encouraged from family and residents at monthly residents’ meetings. Interviews with residents confirmed satisfaction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files evidenced care planning evaluations are documented and implemented. The resident’s care plans were current and reviewed six-monthly.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resident, family, RN, CG, allied health and GP input into the care plan evaluations. Interviews with families confirmed they are informed of sudden changes in health status and they participate in care plan evaluations and GP reviews. </w:t>
            </w:r>
          </w:p>
          <w:p w:rsidR="00EB7645" w:rsidRPr="00BE00C7" w:rsidP="00BE00C7">
            <w:pPr>
              <w:pStyle w:val="OutcomeDescription"/>
              <w:spacing w:before="120" w:after="120"/>
              <w:rPr>
                <w:rFonts w:cs="Arial"/>
                <w:b w:val="0"/>
                <w:lang w:eastAsia="en-NZ"/>
              </w:rPr>
            </w:pPr>
            <w:r w:rsidRPr="00BE00C7">
              <w:rPr>
                <w:rFonts w:cs="Arial"/>
                <w:b w:val="0"/>
                <w:lang w:eastAsia="en-NZ"/>
              </w:rPr>
              <w:t>Wound care plans evidenced timely and current evaluations. Resident’s progress notes were entered on each shift. When a resident’s health status changed there was evidence of GP and family communication. Short-term care plans are in place for acute health issues. Short-term care plans are signed off when the problem is resolved or added to the long-term care plan if ongoing. There was evidence of additional input from other health professionals and specialists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on display. There have been no structural additions or alterations to the facility’s buildings since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is responsible for the surveillance programme at the facility. Monthly analysis is completed and reported at monthly clinical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is appropriate to the size and complexity of the service. Infection logs are maintained for all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evidenced when a resident is identified as having an infection, this is documented in short-term care plans, progress notes and verbal handovers to inform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confirmed there has been one respiratory outbreak since the last audit. The outbreak was confined and managed according to the facility’s policy and procedure the GP and DHB were kept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and enabler policy was current and available to guide practice. Restraint is overseen by a restraint coordinator who is the CSM. The restraint meetings are held every three months and education to update staff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restraints were in use at the time of audit. There were two residents who had voluntary enablers in use (bed rail and lap belt). The individual residents’ enabler assessments were reviewed and there was documented evidence of residents’ giving voluntary consent. There is evidence of input from the GP, allied health, and family and care staff. The enabler use is reviewed and documented in the residents’ care plans.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70"/>
        <w:gridCol w:w="1280"/>
        <w:gridCol w:w="6869"/>
        <w:gridCol w:w="1537"/>
        <w:gridCol w:w="16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the internal audits are completed as per the UCG internal audit schedule. The internal audit results are entered onto a computerised management system by the FM and/or the CSM to inform the UCG national support office of audit results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hard copy internal audits identified that where corrective action was required, this is not always documented and that evidence of the corrective actions implemented was not always recorded. The hard copy data did not consistently evidence when corrective actions were documented, that actions were signed off as completed.  </w:t>
            </w:r>
          </w:p>
          <w:p w:rsidR="00EB7645" w:rsidRPr="00BE00C7" w:rsidP="00BE00C7">
            <w:pPr>
              <w:pStyle w:val="OutcomeDescription"/>
              <w:spacing w:before="120" w:after="120"/>
              <w:rPr>
                <w:rFonts w:cs="Arial"/>
                <w:b w:val="0"/>
                <w:lang w:eastAsia="en-NZ"/>
              </w:rPr>
            </w:pPr>
            <w:r w:rsidRPr="00BE00C7">
              <w:rPr>
                <w:rFonts w:cs="Arial"/>
                <w:b w:val="0"/>
                <w:lang w:eastAsia="en-NZ"/>
              </w:rPr>
              <w:t>Review of the facility’s meeting minutes evidenced internal audits are raised at the meetings, however; the detail of the internal audit results and corrective actions required were not documented in the minutes of meetings. The data recorded included number of partial attainments at an audit, however, the detail of the findings and the corrective action required was not documented. A staff member who was not present at the meeting and was reading the meeting minutes to inform themselves, would not gain understanding from the level of detail recorded in the minutes.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audits do not consistently evidence corrective actions and sign off and this is not always communicated to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corrective actions required following internal audit are documented, completed, signed off and communicated to all concerned.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accident/incident forms completed for adverse events that had occurred. Next of kin are notified of residents’ accidents/incidents as documented on the accident/incident forms and in residents’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and observations are undertaken where residents have experienced a fall. Review of residents fall information evidenced that neurological observations were not always undertaken. Where they were undertaken, they were not conducted for the recommended timeframes in accordance with best practice.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policy and procedure for neurological observations following an unwitnessed fall does not align with best practice.</w:t>
            </w:r>
          </w:p>
          <w:p w:rsidR="00EB7645" w:rsidRPr="00BE00C7" w:rsidP="00BE00C7">
            <w:pPr>
              <w:pStyle w:val="OutcomeDescription"/>
              <w:spacing w:before="120" w:after="120"/>
              <w:rPr>
                <w:rFonts w:cs="Arial"/>
                <w:b w:val="0"/>
                <w:lang w:eastAsia="en-NZ"/>
              </w:rPr>
            </w:pPr>
            <w:r w:rsidRPr="00BE00C7">
              <w:rPr>
                <w:rFonts w:cs="Arial"/>
                <w:b w:val="0"/>
                <w:lang w:eastAsia="en-NZ"/>
              </w:rPr>
              <w:t>ii) Neurological observations are not completed consistently for all unwitnessed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policy and procedure for neurological observations following an unwitnessed fall aligns with best practice.</w:t>
            </w:r>
          </w:p>
          <w:p w:rsidR="00EB7645" w:rsidRPr="00BE00C7" w:rsidP="00BE00C7">
            <w:pPr>
              <w:pStyle w:val="OutcomeDescription"/>
              <w:spacing w:before="120" w:after="120"/>
              <w:rPr>
                <w:rFonts w:cs="Arial"/>
                <w:b w:val="0"/>
                <w:lang w:eastAsia="en-NZ"/>
              </w:rPr>
            </w:pPr>
            <w:r w:rsidRPr="00BE00C7">
              <w:rPr>
                <w:rFonts w:cs="Arial"/>
                <w:b w:val="0"/>
                <w:lang w:eastAsia="en-NZ"/>
              </w:rPr>
              <w:t>ii) Ensure neurological observations are completed for all unwitnessed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system in place for staff training and records confirmed staff education is planned and facilitated. </w:t>
            </w:r>
          </w:p>
          <w:p w:rsidR="00EB7645" w:rsidRPr="00BE00C7" w:rsidP="00BE00C7">
            <w:pPr>
              <w:pStyle w:val="OutcomeDescription"/>
              <w:spacing w:before="120" w:after="120"/>
              <w:rPr>
                <w:rFonts w:cs="Arial"/>
                <w:b w:val="0"/>
                <w:lang w:eastAsia="en-NZ"/>
              </w:rPr>
            </w:pPr>
            <w:r w:rsidRPr="00BE00C7">
              <w:rPr>
                <w:rFonts w:cs="Arial"/>
                <w:b w:val="0"/>
                <w:lang w:eastAsia="en-NZ"/>
              </w:rPr>
              <w:t>Performance reviews are conducted three months post a staff member’s commencement of employment at the facility. Review of six staff files evidenced two staff, who had been employed for more than one year, did not have current performance reviews.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staff have current performance reviews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all staff have current performance reviews conducted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365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Churtonleigh</w:t>
    </w:r>
    <w:bookmarkEnd w:id="58"/>
    <w:r>
      <w:rPr>
        <w:rFonts w:cs="Arial"/>
        <w:sz w:val="16"/>
        <w:szCs w:val="20"/>
      </w:rPr>
      <w:tab/>
      <w:t xml:space="preserve">Date of Audit: </w:t>
    </w:r>
    <w:bookmarkStart w:id="59" w:name="AuditStartDate1"/>
    <w:r>
      <w:rPr>
        <w:rFonts w:cs="Arial"/>
        <w:sz w:val="16"/>
        <w:szCs w:val="20"/>
      </w:rPr>
      <w:t>4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