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Elms Court Rest Home Limited - Elms Court Rest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Elms Court Resthome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Elms Court Rest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10 February 2020</w:t>
      </w:r>
      <w:bookmarkEnd w:id="7"/>
      <w:r w:rsidRPr="009418D4">
        <w:rPr>
          <w:rFonts w:cs="Arial"/>
        </w:rPr>
        <w:tab/>
        <w:t xml:space="preserve">End date: </w:t>
      </w:r>
      <w:bookmarkStart w:id="8" w:name="AuditEndDate"/>
      <w:r w:rsidR="00A4268A">
        <w:rPr>
          <w:rFonts w:cs="Arial"/>
        </w:rPr>
        <w:t>11 February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Elms Court Rest Home provides care for up to 19 rest home level residents.  On the day of the audit there were 17 residents.    </w:t>
      </w:r>
    </w:p>
    <w:p w:rsidRPr="00A4268A">
      <w:pPr>
        <w:spacing w:before="240" w:line="276" w:lineRule="auto"/>
        <w:rPr>
          <w:rFonts w:eastAsia="Calibri"/>
        </w:rPr>
      </w:pPr>
      <w:r w:rsidRPr="00A4268A">
        <w:rPr>
          <w:rFonts w:eastAsia="Calibri"/>
        </w:rPr>
        <w:t xml:space="preserve">This unannounced surveillance audit was conducted against a subset of the Health and Disability sector standards and the district health board contract.  The audit process included the review of policies and procedures, the review of resident and staff files, observations and interviews with residents, relatives, staff, the GP and management.  </w:t>
      </w:r>
    </w:p>
    <w:p w:rsidRPr="00A4268A">
      <w:pPr>
        <w:spacing w:before="240" w:line="276" w:lineRule="auto"/>
        <w:rPr>
          <w:rFonts w:eastAsia="Calibri"/>
        </w:rPr>
      </w:pPr>
      <w:r w:rsidRPr="00A4268A">
        <w:rPr>
          <w:rFonts w:eastAsia="Calibri"/>
        </w:rPr>
        <w:t>The owner/director/facility manager has a background in human resources and was the previous assistant manager at Elms Court.  She has been in the role for a year.  The clinical manager has also been in the role for a year and has previous experience in aged care.  They are supported by long-standing staff.  Residents, relatives and the general practitioner interviewed were very complimentary of the services and care received.</w:t>
      </w:r>
    </w:p>
    <w:p w:rsidRPr="00A4268A">
      <w:pPr>
        <w:spacing w:before="240" w:line="276" w:lineRule="auto"/>
        <w:rPr>
          <w:rFonts w:eastAsia="Calibri"/>
        </w:rPr>
      </w:pPr>
      <w:r w:rsidRPr="00A4268A">
        <w:rPr>
          <w:rFonts w:eastAsia="Calibri"/>
        </w:rPr>
        <w:t>The service has addressed the previous shortfall around care plan interventions.</w:t>
      </w:r>
    </w:p>
    <w:p w:rsidRPr="00A4268A">
      <w:pPr>
        <w:spacing w:before="240" w:line="276" w:lineRule="auto"/>
        <w:rPr>
          <w:rFonts w:eastAsia="Calibri"/>
        </w:rPr>
      </w:pPr>
      <w:r w:rsidRPr="00A4268A">
        <w:rPr>
          <w:rFonts w:eastAsia="Calibri"/>
        </w:rPr>
        <w:t>This audit identified a shortfall around employment processes.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A policy on open disclosure is in place.  There is evidence that residents and relatives are kept informed.  The rights of the resident and/or their family to make a complaint is understood, respected and upheld by the service.  A system for managing complaints is in place.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 facility manager is responsible for the day-to-day operations.  Goals are documented for the service with evidence of regular reviews.  A current quality and risk management programme was documented.  Quarterly meetings are held as scheduled.  The risk management programme includes managing adverse events and health and safety processes. </w:t>
      </w:r>
    </w:p>
    <w:p w:rsidRPr="00A4268A">
      <w:pPr>
        <w:spacing w:before="240" w:line="276" w:lineRule="auto"/>
        <w:rPr>
          <w:rFonts w:eastAsia="Calibri"/>
        </w:rPr>
      </w:pPr>
      <w:r w:rsidRPr="00A4268A">
        <w:rPr>
          <w:rFonts w:eastAsia="Calibri"/>
        </w:rPr>
        <w:t xml:space="preserve">Residents receive appropriate services from suitably qualified staff.  Employment processes are in place.  An orientation programme is in place for new staff.  Ongoing education and training is in place, which includes in-service education and competency assessments.  Residents, relatives and staff reported that staffing levels are adequate to meet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clinical manager/RN is responsible for care plan documentation.  InterRAI assessments and care plans are completed within required timeframes.  Planned activities are appropriate to the resident’s assessed needs and abilities.  Residents and families advised satisfaction with the activities programme.  The service uses an electronic medication management system.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Elms Court has a current building warrant of fitness and reactive and preventative maintenance occurs.</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Elms Court have restraint minimisation and safe practice policies and procedures in place.  Staff receive training in restraint minimisation and challenging behaviour management.  The service currently has no residents requiring restraint or enablers.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Elms Court continues to implement their infection surveillance programme.  Infection control issues are discussed at both the combined quality meeting and the staff meeting.  The infection control programme is linked with the quality programme.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forms are available at the entrance to the facility.  Information around the complaints process is provided on admission.  A record of all complaints, both verbal and written is maintained by the facility manager on the complaints register.  One complaint was received in 2019, and there have been none to date in 2020.  Documentation and correspondence reflected evidence of responding to the complaints in a timely manner with appropriate follow-up actions taken.  Care partners interviewed confirmed that complaints and any required follow-up is discussed at staff meetings as sighted in the minutes.  The relative advised that they are aware of the complaints procedure and how to access forms, the residents stated they felt comfortable raising any concerns with staff or management.  Residents rights and complaint processes were discussed at a residents meeting following the low number of residents aware of how to make a complaint identified through the 2019 satisfaction survey.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Comprehensive information is provided at entry to residents and family/whānau.  Five residents interviewed stated that they were welcomed on entry and were given time and explanation about the services and procedures.  Both the facility manager and clinical manager were available to residents and relatives and they promote an open-door policy.  Incident forms reviewed in December 2019, and January and February 2020 evidenced that relatives had been notified on all occasions.  The relative interviewed advised that they are notified promptly of incidents and when residents’ health status change.  The two care partners (caregivers) and the lifestyle coordinator interviewed fluently described instances where relatives would be notified.  Interpreter services are available on request.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Elms Court Rest Home is privately owned and operated and provides care for up to 19 residents requiring rest home level care.  On the day of the audit, there were 17 residents in total, including three residents on the long-term support - chronic health contract (LTS-CHC), two on Life links contract funded by the MOH and one under the mental health act.  All other residents were under the age-related residential care (ARCC)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owned by a husband and wife team.  The facility manager (wife) is non-clinical and has been in the role for a year.  She is experienced in human resources and was the previous assistant manager for three years.  The clinical manager has been in the role for a year and has previous experience in aged care and senior nurse role.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has a current 2019/2020 business plan.  The business plan identifies progress achieving goals.  The business plan incorporates the risk management plan and goals for each area of service delivery and organisational management.  The manager/owner (husband) is responsible for the operational and financial aspect of the business and manages a sister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has attended at least eight hours of professional development that relates to managing a rest home including NZ Aged Care Association conference and a management and leadership course.  The clinical manager has attended management and leadership training, a wound care study day through CDHB and has access to online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and risk programme describes Elms Court Rest Homes quality improvement processes.  Progress with the quality and risk management programme has been monitored through the three-monthly combined quality/management/clinical/infection control/health and safety meetings.  The three-monthly quality/management meetings are held prior to the staff and resident meetings.  Quality data, complaints, health and safety, hazard management, internal audits and corrective actions are discussed as sighted in minutes and confirmed during staff interviews.  Meeting minutes have been maintained and staff are expected to read the minutes.  Minutes for all meetings have included actions to achieve compliance where relevant.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annual resident and relative satisfaction survey was conducted in 2019 and is due to be completed for 2020.  Respondents advising that they are overall very satisfied with the care and service they receive.  The residents survey identified that the 14 residents who responded were overall happy with the service provided.  Corrective actions were put in place around improving and discussing the complaints process at resident meetings as a high number could not recall the complaints process.  Air fresheners and replacement of carpets was completed following reports of odours.  There was low satisfaction around the food services in the surveys (despite no issues when discussed at the meetings).  The menu was reviewed, and second helpings and extra fluids are now offered at mealtimes.  The relative survey identified relatives always feel well informed, staff are flexible and always interested and go the extra mile especially around special events.  There were no corrective actions required for the relative survey.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internal audit schedule for 2019 has been completed and 2020 is being completed as per schedule.  Areas of non-compliance identified at audits have been actioned for improvement.  The service has implemented a health and safety management system.  Risk management, hazard control and emergency policies and procedures are being implemented and are monitored at the quality/management meeting.  Hazard identification forms and an up-to-date hazard register (last reviewed 21 August 2019) are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that includes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collects incident and accident data monthly and reports aggregated figures quarterly to the quality meeting.  Emergent issues are discussed at the daily staff handovers.  Incident forms are completed by the care partners.  The resident is reviewed by the clinical manager at the time of event if on site.  If the clinical manager is not on site, the care partners inform the clinical manager who assesses the resident immediately if required or when next on duty for non-injury events.  The form is forwarded to the facility manager for final sign off.  Ten paper-based incident forms reviewed identified appropriate registered nurse follow up.  Incident/accident forms include a section to record relatives have been notified.  Neurological observations were not completed for two unwitnessed falls as the resident was able to say they had not hit their head.  Minutes of the combined quality/staff meetings reflect a discussion of incident statistics and analysis.  The care partners interviewed could discuss the incident reporting process.  Discussions with both the facility and clinical manager confirmed that there is an awareness of the requirement to notify relevant authorities in relation to essential notifications.  There have been no notifications required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staff files (one clinical manager/RN, three care partners (including the cook/care partner) and one lifestyle coordinator) were reviewed.  A current practising certificate was sighted for the clinical manager/RN.  The service has an orientation programme in place to provide new staff with relevant information for safe work practice, however, the recruitment and staff selection process requires that relevant checks are completed to validate the individual’s qualifications, experience and suitability for the role was not documented.  Performance appraisals were current.  Staff interviewed were able to describe the orientation process and stated that they believed new staff are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manager/RN and care partners complete competencies relevant to their role such as medications, hand hygiene, restraint and manual handling.  There is an education planner in place that covers compulsory education requirements over a two-year period.  The clinical manager/RN has completed interRAI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has a weekly roster in place which provides sufficient staffing cover for the provision of care and service to residents.  Staffing rosters were sighted and there is an adequate number of staff on duty to meet the resident’s needs on different shifts.  The manager/owner is on site from 9 am until 3 pm Monday to Friday and is on call 24/7 for any operational issues.  There is a clinical manager/RN on site for 20 hours per week or more if required and is also on call 24/7 for any clinical concerns.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care partners (Health Care Assistants) on duty on the morning shift, 1x 6 am to 2.30 pm (medicine competent), and 1x 7 am to 10 am (medicine checker) then goes to the kitchen from 10 am to 1.30 pm.  The afternoon has two care partners rostered: 1x 2 pm to 10 pm (medicine competent) and 1x 4.15 pm to 6.15 pm kitchen shift (medicine checker).  One care partner who is medicine competent works overnight from 10 pm to 6 am.  All staff except one care partner, have first aid certificates, this care partner is always working the short shift and always has another care partner on duty.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Roster shortages or sickness are covered by casual or off duty staff.  The care partners and residents interviewed reported that there is sufficient staff cover.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have implemented an electronic medication management system.  The supplying pharmacy couriers all medicines in robotic rolls for regular medications and blister packs for ‘as required’ medications.  Medications were checked and signed on arrival from the pharmacy by the clinical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and care partners are assessed as medication competent to administer medication, the care partners who also complete kitchen duties are competent as checkers only.  Standing orders were available but not in use.  The medication fridge temperatures and the room where medications are stored have been monitored weekly and temperatures were within the acceptable range.  Ten electronic medication files were reviewed.  Medication reviews were completed by the GP three monthly.  PRN medications were prescribed correctly with indications for use.  Medications are stored securely in the locked nurses’ station and the medication trolley is locked and kept in the dining room.  There were three residents’ self-medicating inhalers, each have a competency in place which has been reviewed by the GP three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and baking are prepared and cooked on site by a care partner/cook.  Staff who perform kitchen duties have completed food safety training.  The food control plan expires 18 February 2021.  The four-weekly seasonal menu has been reviewed by a dietitian and is due for review in 2020.  Fridge temperatures are taken daily and freezer temperatures weekly.  Cleaning schedules are maintained.  End cooked food temperatures are taken on all foods daily and recorded.  Perishable foods sighted in the fridge were covered and dated.  Dried goods in the pantry were dated and goods are rotated when orders are delivered.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dislikes are known and accommodated.  Meals are plated and served directly from the kitchen area to residents in the dining room.  Residents choose the menu on their birthdays.  Resident meetings along with direct input from residents, provide resident feedback on the meals and food services generally.  Residents and relatives interviewed were very satisfied with the food and confirmed alternative food choices were offered for any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clinical manager/RN initiates a review and if required, GP, nurse specialist consultation.  There is documented evidence in the progress notes the family/whānau (where appropriate) were notified of any changes to their relative’s health including (but not limited to) accident/incidents, infections, health professional visits, referrals and changes in medications.  Discussions with the relative confirmed they are notified promptly of any changes to their relative’s health.  Changes to resident’s health are monitored and identified through ongoing daily assessments.  Changes to health are reported to the clinical manager/RN who informs the GP or other allied health specialists.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and treatment forms, ongoing evaluation form and evaluation notes were in place for two residents (one blister, one lesion and one resolved pressure injury with a protective dressing only).  Short-term care plans were in place for both wounds.  There is access to a wound nurse specialist if required.  Adequate dressing supplies were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included a urinary continence assessment, bowel management, and continence products identified.  </w:t>
            </w:r>
          </w:p>
          <w:p w:rsidR="00EB7645" w:rsidRPr="00BE00C7" w:rsidP="00BE00C7">
            <w:pPr>
              <w:pStyle w:val="OutcomeDescription"/>
              <w:spacing w:before="120" w:after="120"/>
              <w:rPr>
                <w:rFonts w:cs="Arial"/>
                <w:b w:val="0"/>
                <w:lang w:eastAsia="en-NZ"/>
              </w:rPr>
            </w:pPr>
            <w:r w:rsidRPr="00BE00C7">
              <w:rPr>
                <w:rFonts w:cs="Arial"/>
                <w:b w:val="0"/>
                <w:lang w:eastAsia="en-NZ"/>
              </w:rPr>
              <w:t>Monitoring forms and short-term care plans provide guidance for the safe delivery of care for short-term needs/supports.  An action plan was in place for diabetes management.  The form contained information on ‘normal ranges’ and provided clear instructions for care partners to follow if the blood sugar levels are outside of these perimeters and instructions for follow-up management and monitoring.  An information sheet with signs and symptoms of hyperglycaemic and hypoglycaemic episodes is in resident files of insulin diabetics.  The previous finding has been addressed.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were sighted for residents who were identified as losing weight unintentionally.  Weights have been monitored weekly, supplements have been prescribed by the GP, and smoothies and a high protein diet was in place.  Food charts, and fluid balance charts were maintained and the care partners document whether there has been an adequate food and fluid intake in the progress notes, and if the resident is reviewed by the GP.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sighted included electronic weight, vital signs, food and fluid, fluid balance, and blood sugar monitoring.  A suite of monitoring charts are available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lifestyle coordinator with an occupational therapy background.  She works 16 hours a week spread over four days a week.  Working hours are flexible around resident activities such as outings.  A resident social profile is completed on admission.  Individual activity plans were seen in the resident files.  The lifestyle coordinator is involved in the six-monthly review with the clinical manager/RN.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monthly programme includes activities such as mini golf, quizzes, word builders, exercises, walks, gardening, music, happy hours and news and views.  A new initiative is to join with the sister facility and have monthly competitions.  Care partners implement the weekend programme that includes movies.  The planner is subject to change if the residents choose to participate in other activities, weather permitting.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supported to attend community events including concerts and social afternoons in the community with other rest homes.  A company car and taxis are used for outings to the beach, art galleries, and museums.  Monthly church services are held, and communion is held on site.  One on one time is spent with residents who choose not to participate in group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lifestyle coordinator meets daily with the younger persons to ensure their individual recreational references are being met.  They are offered to join in activities and are supported to maintain their interests.  The focus for the current younger residents is maintaining a sense of self, a sense of worth and enabling residents to be independent and make their own decisions.  Residents (where appropriate) are encouraged to use the bus to get to community activities of their choice.  The lifestyle coordinator endeavours to include something for all residents in the planner.  Elms Court receives feedback and suggestions for the programme through resident meetings, regular feedback, suggestions and surveys.  Residents and relatives interviewed were satisfied with all on site and community activities on offer.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initial care plans for long-term residents were evaluated by the clinical manager within three weeks of admission and long-term care plans developed.  Long-term care plans have been evaluated by the clinical manager at least six monthly, using the interRAI tool or earlier for any health changes for files reviewed.  The GP reviews the residents at least three-monthly or earlier if required.  Ongoing nursing evaluations occur as indicated and are documented within the progress notes or the care plan.  The short-term care plans of care have been reviewed and evaluated </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holds a current building warrant of fitness expiring on 1 June 2020.  Preventative and reactive maintenance occurs, and records are maintained.  Hot water temperatures are checked randomly and were within ranges.  Tradesmen are available if required.  Equipment has been tagged and tested on a two-yearly rotation.  New seated scales have been recently purchased.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areas are accessible for residents using mobility aids.  There is a large communal lounge area with a conservatory area for residents and relatives to enjoy.  Outdoor areas and gardens are well maintained and accessible to residents.  The gardens have seating and shade provided by the trees.  There is a designated smoking area for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partners interviewed stated they have sufficient equipment including mobility aids, wheelchairs and pressure injury equipment (if required), to safely deliver the cares as outlined in the residents’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continue to implement their infection surveillance programme.  Individual electronic infection forms were completed for all infections.  Infections were included on a monthly electronic register.  A monthly report and graphs were completed by the infection control coordinator (clinical manager).  Infection control (IC) issues were discussed at the combined quality meetings and staff meetings quarterly.  Emergent issues are dealt with and discussed at the daily handover and reiterated at the quarterly meetings.  The IC programme is linked with the quality programme.  In-service education is provided annually and in toolbox talks when required.  There have been no outbreaks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Rest Home has restraint minimisation and safe practice policies and procedures in place.  Policies and procedures include definition of restraint and enabler that are congruent with the definition in NZS 8134.0.  There were no residents requiring restraint or enablers at the time of the audit.  The service is committed to maintaining a restraint-free environment.  Staff received training in restraint minimisation and challenging behaviour management in April 2019.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49"/>
        <w:gridCol w:w="1280"/>
        <w:gridCol w:w="5329"/>
        <w:gridCol w:w="2047"/>
        <w:gridCol w:w="233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1.2.7.3</w:t>
            </w:r>
          </w:p>
          <w:p w:rsidR="00EB7645" w:rsidRPr="00BE00C7" w:rsidP="00BE00C7">
            <w:pPr>
              <w:pStyle w:val="OutcomeDescription"/>
              <w:spacing w:before="120" w:after="120"/>
              <w:rPr>
                <w:rFonts w:cs="Arial"/>
                <w:b w:val="0"/>
                <w:lang w:eastAsia="en-NZ"/>
              </w:rPr>
            </w:pPr>
            <w:r w:rsidRPr="00BE00C7">
              <w:rPr>
                <w:rFonts w:cs="Arial"/>
                <w:b w:val="0"/>
                <w:lang w:eastAsia="en-NZ"/>
              </w:rPr>
              <w:t>The appointment of appropriate service providers to safely meet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described performing reference checks for new staff employed to verify qualifications, and suitability for the position, however this was not documented.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Five of five staff files did not have reference checks documented.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reference checks for all new staff are documented and kept on file.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Elms Court Rest Home Limited - Elms Court Rest Home</w:t>
    </w:r>
    <w:bookmarkEnd w:id="58"/>
    <w:r>
      <w:rPr>
        <w:rFonts w:cs="Arial"/>
        <w:sz w:val="16"/>
        <w:szCs w:val="20"/>
      </w:rPr>
      <w:tab/>
      <w:t xml:space="preserve">Date of Audit: </w:t>
    </w:r>
    <w:bookmarkStart w:id="59" w:name="AuditStartDate1"/>
    <w:r>
      <w:rPr>
        <w:rFonts w:cs="Arial"/>
        <w:sz w:val="16"/>
        <w:szCs w:val="20"/>
      </w:rPr>
      <w:t>10 February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