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Chetty's Investment Limited - Alexander Lodge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Chetty's Investment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Alexander Lodge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Residential disability services - Psychiatric</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 February 2020</w:t>
      </w:r>
      <w:bookmarkEnd w:id="7"/>
      <w:r w:rsidRPr="009418D4">
        <w:rPr>
          <w:rFonts w:cs="Arial"/>
        </w:rPr>
        <w:tab/>
        <w:t xml:space="preserve">End date: </w:t>
      </w:r>
      <w:bookmarkStart w:id="8" w:name="AuditEndDate"/>
      <w:r w:rsidR="00A4268A">
        <w:rPr>
          <w:rFonts w:cs="Arial"/>
        </w:rPr>
        <w:t>4 February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Alexander Lodge Rest Home (Alexander Lodge) provides rest home level care for up to 23 residents. The service is owned and operated by Chetty’s Investments Limited and managed by the owner/operator and a clinical nurse coordinator. The owner/manager is on site most days. </w:t>
      </w:r>
    </w:p>
    <w:p w:rsidRPr="00A4268A">
      <w:pPr>
        <w:spacing w:before="240" w:line="276" w:lineRule="auto"/>
        <w:rPr>
          <w:rFonts w:eastAsia="Calibri"/>
        </w:rPr>
      </w:pPr>
      <w:r w:rsidRPr="00A4268A">
        <w:rPr>
          <w:rFonts w:eastAsia="Calibri"/>
        </w:rPr>
        <w:t>The most significant change to the service since the previous audit, is the employment of a second registered nurse (RN).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agreements with the district health board and Ministry of Health. The audit process included review of policies and procedures, review of residents’ and staff files, observations and interviews with residents, family members, management, staff, and a general practitioner. </w:t>
      </w:r>
    </w:p>
    <w:p w:rsidRPr="00A4268A">
      <w:pPr>
        <w:spacing w:before="240" w:line="276" w:lineRule="auto"/>
        <w:rPr>
          <w:rFonts w:eastAsia="Calibri"/>
        </w:rPr>
      </w:pPr>
      <w:r w:rsidRPr="00A4268A">
        <w:rPr>
          <w:rFonts w:eastAsia="Calibri"/>
        </w:rPr>
        <w:t xml:space="preserve">This audit has resulted in a rating of continuous improvement for staff education. No areas of non-compliance with these standards were identified.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The complaint management process was known by staff, families and residents. There have been no complaints received since the previous surveillance audit in 2018.</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service.  </w:t>
      </w:r>
    </w:p>
    <w:p w:rsidRPr="00A4268A">
      <w:pPr>
        <w:spacing w:before="240" w:line="276" w:lineRule="auto"/>
        <w:rPr>
          <w:rFonts w:eastAsia="Calibri"/>
        </w:rPr>
      </w:pP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Residents’ information is accurately recorded, securely stored and not accessible to unauthorised people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said they were satisfied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well described policies and procedures that support the minimisation of restraint. There were no enablers in use at the time of this audit and the service has never implemented a restraint intervention on a resident.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53"/>
        <w:gridCol w:w="1280"/>
        <w:gridCol w:w="89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Alexander Lodge has policies and procedures to meet their obligation in relation to the Code of Health and Disability Services Consumer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and ongoing training as verified in the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provided relevant guidance to staff. Clinical files sampled showed that informed consent has been gained appropriately using the organisation’s standard consent form. These are signed by the enduring power of attorney (EPOA) or residents and the general practitioner makes a clinically based decision on resuscitation authorisation if required. Staff were observed to gain consent for day to day care. Interviews with relatives confirmed the service actively involves them in decisions that affect their family members’ lives.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 part of the admission process residents and family/whanau are given a copy of the Code, which includes information on advocacy services. Posters and brochures related to the national advocacy service were displayed and available in the facility. Family members and residents interviewed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activities, and entertainment. The facility has unrestricted visiting hours and encourages visits from residents’ family and friends. Family members interviewed stated they felt welcome when they visited and comfortable in their encounters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clearly documented and effectively implemented complaints management process which meets the requirements of this standard, the provider’s contract and complies with right 10 of the Code. Interview with the manager, review of the complaints register and documents related to the complaints logged since the previous audit, showed there have been no complaints received since the previous surveillance audit in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clearly described what they would do in the event of someone wanting to lodge a complaint. </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they had received written information about complaints in their entry packs and in their agreements. Residents said that they were reminded about their right to complain at regular residents’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about consumer rights legislation, advocacy services and the complaints process are provided on admission and displayed at the reception. The Code is available in Maori and English. Family members and residents interviewed were aware of consumers’ rights and confirmed that information was provided to them during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The information pack outlines the services provided. Resident agreements signed either by the resident or by an enduring power of attorney (EPOA) were sighted in records sampled. Service agreements meet the district health board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privacy and dignity are respected. Staff were observed maintaining privacy. Residents are supported to maintain their independence with residents assessed as rest home level of care, able to move freely into the surrounding areas and in and out of the facility with no restrictions. Records sampled confirmed that each resident’s individual cultural, religious and social needs, values and beliefs had been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There is an abuse and neglect policy and staff interviewed understood how to report such incidents if suspected or observed. The registered nurse (RN) reported that any allegations of neglect if reported would be taken seriously and immediately followed up. There were no documented incidents of abuse or neglect in the records sampled. The GP reiterated that there was no evidence of any abuse or neglect reported. Family/whanau and residents interviewed expressed no concerns regarding abuse, neglect or culturally unsafe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required policies on cultural appropriateness are documented. Policies refer to the Treaty of Waitangi and partnership principles. The Maori Health plan includes a commitment to the principles of the Treaty of Waitangi and identifies barriers to access. It also recognises the importance of whanau. Assessments and care plans document any cultural/spiritual needs. Special consideration of cultural needs is provided in the event of death as outlined in the policy. The required activities and blessings are conducted when and as required. All staff receive cultural awareness training. There were residents who identify as Maori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Cultural needs are determined on admission and a care plan is developed to ensure that care and services are delivered in a culturally and/or spiritually sensitive manner in accordance with protocols/guidelines as recognised by the family/whanau. Values and beliefs are discussed and incorporated into the care plan. Family members and residents interviewed confirmed they are encouraged to be involved in the development of the long-term care plans. Residents’ personal preferences and special needs were included in care plans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that residents were free from any type of discrimination, harassment or exploitation and this was confirmed by the residents. The induction process for staff includes education related to professional boundaries, expected behaviours and the code of conduct. Staff are guided by policies and procedures and demonstrated a clear understanding of the process they would follow, should they suspect any form of exploitation. The owner/manager and RN stated that there have been no reported alleged episodes of abuse, neglect or discrimination towards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ongoing professional development of staff. The general practitioner (GP) confirmed the service sought prompt and appropriate medical intervention when required and were responsive to medical requests. Staff reported they receive management support for external education and access their own professional networks to support contemporary good practice. Care staff are given an opportunity of doing case presentations which they stated were helping them to further research and understand residents condition better (refer 1.2.7.5).</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linked to evidence-based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stated they were kept well informed about any changes to their relative’s health status, were advised in a timely manner about any incidents or accidents and outcomes of regular and any urgent medical reviews. This was supported in residents’ records sampled. Staff understood the principles of open disclosure, which is supported by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if required. Staff can provide interpretation as and when needed and the use of family members and communication cards is encouraged.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the owner/manager confirmed the service holds agreements with the DHB for rest home level care under the Age-Related Residential Care Contract (ARRC), Respite Services, Long Term Support Chronic Health Conditions (LTS-CHC) and the Ministry of Health, Disability Support Services Outcome agreement for younger people with disabilities.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 one of the 23 available beds were occupied on the first day of the audit. Eighteen residents were receiving rest home level care, and three residents were under the age of 65 years and assessed as having long term chronic health conditions having been referred by DHB Adult Mental Health Services. There is one male boarder onsite who resides in a downstairs apartment. This person does not receive any services from the care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risk and business plans have current goals which are being monitored for progress by the owner/manager and the RN. Regular reports on service delivery and organisational performance is shared with all staff at their monthly meetings. </w:t>
            </w:r>
          </w:p>
          <w:p w:rsidR="00EB7645" w:rsidRPr="00BE00C7" w:rsidP="00BE00C7">
            <w:pPr>
              <w:pStyle w:val="OutcomeDescription"/>
              <w:spacing w:before="120" w:after="120"/>
              <w:rPr>
                <w:rFonts w:cs="Arial"/>
                <w:b w:val="0"/>
                <w:lang w:eastAsia="en-NZ"/>
              </w:rPr>
            </w:pPr>
            <w:r w:rsidRPr="00BE00C7">
              <w:rPr>
                <w:rFonts w:cs="Arial"/>
                <w:b w:val="0"/>
                <w:lang w:eastAsia="en-NZ"/>
              </w:rPr>
              <w:t>The RN has extensive clinical experience in aged care. Her personnel file contained evidence of interRAI competency and ongoing performance development in subject areas related to the role. The owner/manager is continuing to attend seminars related to operating and managing age care facilities as confirmed by interview and records of attendance.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personnel files, interview with the manager, the nurse coordinator and other staff confirmed that the manager's role is filled by the clinical nurse coordinator during planned and unplanned absences. </w:t>
            </w:r>
          </w:p>
          <w:p w:rsidR="00EB7645" w:rsidRPr="00BE00C7" w:rsidP="00BE00C7">
            <w:pPr>
              <w:pStyle w:val="OutcomeDescription"/>
              <w:spacing w:before="120" w:after="120"/>
              <w:rPr>
                <w:rFonts w:cs="Arial"/>
                <w:b w:val="0"/>
                <w:lang w:eastAsia="en-NZ"/>
              </w:rPr>
            </w:pPr>
            <w:r w:rsidRPr="00BE00C7">
              <w:rPr>
                <w:rFonts w:cs="Arial"/>
                <w:b w:val="0"/>
                <w:lang w:eastAsia="en-NZ"/>
              </w:rPr>
              <w:t>The two RNs employed cover each other’s absences.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reporting and management of incidents and complaints, internal audits, a regular resident satisfaction survey, monitoring of outcomes, and infections. An ‘annual quality and stats report’ presents the number of hospital admissions, the number of resident discharges and admissions, quality improvement initiatives and results of internal audits. This report outlined how services and the treatment provided to residents is appropriate and readily available, and that risks to residents, staff and others are minimised.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management meetings and staff meetings. Staff reported their involvement in quality and risk management activities through audit activities and the quality data presented at their meetings. Relevant corrective actions are developed and implemented to address any shortfalls. Resident and family satisfaction surveys are completed annually. The most recent survey from December 2019, revealed no issues and a high level of satisfaction.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a pre audit review of these confirmed they were all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The owner described the processes for the identification, monitoring, review and reporting of risks and development of mitigation strategies. The manager is familiar with the Health and Safety at Work Act (2015) and has implemented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All incident records from 2019 reviewed showed that these were investigated and reviewed. There were 13 in total and none that required a remedial plan. Seven were falls with no significant injuries. Three drug errors reported were all pharmacy related. Adverse event data is collated, analysed and discussed at monthly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 understands the requirements for essential notification reporting.  They advised there have been no section 31 notifications of significant events made to the Ministry of Health, or other regulatory body since the previous audit.  Their DHB portfolio manager was advised by email about an issue involving a family member who had been trespassed from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Three care staff have completed level three of the National Certificate in Health and Wellbeing and the other four care staff are at level two. All staff have engaged in an annual performance appraisal. This meets the requirements of the provider’s agreement with the DHB.</w:t>
            </w:r>
          </w:p>
          <w:p w:rsidR="00EB7645" w:rsidRPr="00BE00C7" w:rsidP="00BE00C7">
            <w:pPr>
              <w:pStyle w:val="OutcomeDescription"/>
              <w:spacing w:before="120" w:after="120"/>
              <w:rPr>
                <w:rFonts w:cs="Arial"/>
                <w:b w:val="0"/>
                <w:lang w:eastAsia="en-NZ"/>
              </w:rPr>
            </w:pPr>
            <w:r w:rsidRPr="00BE00C7">
              <w:rPr>
                <w:rFonts w:cs="Arial"/>
                <w:b w:val="0"/>
                <w:lang w:eastAsia="en-NZ"/>
              </w:rPr>
              <w:t>There are now two registered nurses trained in and maintaining their annual competency to undertake interRAI assessments. Records reviewed verified the date of their required training and completion of ongoing competency.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a four-week roster cycle confirmed adequate staff cover has been provided, with staff replaced in any unplanned absence.  All staff hold current first aid certificates and an RN is on call after hours.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resident register is maintained of all current and past residents. Resident individual information is kept in paper and electronic format. The resident’s name, date of birth and National Health Index (NHI) number are used as the unique identifier on all residents’ information. All necessary demographic, personal, clinical and health information was fully completed in the residents’ files sampled. Clinical notes were current and integrated with the GP and allied health service provider notes. Written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using a cataloguing system. 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entry to service policy includes all the required aspects on the management of enquiries and entry. Alexander Lodge’s welcome pack contains all the information about entry to the service. Assessments and entry screening processes are documented and clearly communicated to the residents, family/whanau where appropriate, local communities and referral agencies. </w:t>
            </w:r>
          </w:p>
          <w:p w:rsidR="00EB7645" w:rsidRPr="00BE00C7" w:rsidP="00BE00C7">
            <w:pPr>
              <w:pStyle w:val="OutcomeDescription"/>
              <w:spacing w:before="120" w:after="120"/>
              <w:rPr>
                <w:rFonts w:cs="Arial"/>
                <w:b w:val="0"/>
                <w:lang w:eastAsia="en-NZ"/>
              </w:rPr>
            </w:pPr>
            <w:r w:rsidRPr="00BE00C7">
              <w:rPr>
                <w:rFonts w:cs="Arial"/>
                <w:b w:val="0"/>
                <w:lang w:eastAsia="en-NZ"/>
              </w:rPr>
              <w:t>Records sampled confirmed that admission requirements were conducted within the required time frames and are signed on entry. Family/whanau and residents interviewed confirmed that they received sufficient information regarding the services to be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transfers and discharges. A standard transfer notification form from the DHB is utilised when residents are required to be transferred to the public hospital or another service. Residents and their families are involved in all exit or discharges to and from the service and there was sufficient evidence in the residents’ records to confirm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policy on the management of the medication system. All medication files sampled confirmed that they are reviewed as required and discontinued medications are signed and dated by the GP. Allergies are documented, identification photos are present and three-monthly reviews are completed. Medication charts were legibly written. The caregivers were observed administering medication correctly in their respective wings.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reconciliation is conducted by the RNs when a resident is transferred back to the service. The service uses pharmacy pre-packed packs that are checked by the RNs on delivery.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controlled drug register was current and correct. Weekly, monthly and six-monthly stock takes are conducted, and all medications are stored appropriately.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self-administering medication, such as inhalers, are assessed as competent to do so and medication was stored in a secure way. There is a policy and procedure for self-administration of medication. </w:t>
            </w:r>
          </w:p>
          <w:p w:rsidR="00EB7645" w:rsidRPr="00BE00C7" w:rsidP="00BE00C7">
            <w:pPr>
              <w:pStyle w:val="OutcomeDescription"/>
              <w:spacing w:before="120" w:after="120"/>
              <w:rPr>
                <w:rFonts w:cs="Arial"/>
                <w:b w:val="0"/>
                <w:lang w:eastAsia="en-NZ"/>
              </w:rPr>
            </w:pPr>
            <w:r w:rsidRPr="00BE00C7">
              <w:rPr>
                <w:rFonts w:cs="Arial"/>
                <w:b w:val="0"/>
                <w:lang w:eastAsia="en-NZ"/>
              </w:rPr>
              <w:t>An annual medication competency is completed for all staff administering medications and medication training records were sighted. The medicines management system complies with legislation, protocols and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an approved food plan for the service. Meals are prepared on site and served in the allocated dining rooms. The menu was due for review this month (February) by a registered dietitian to confirm it is appropriate to the nutritional needs of the residents. There is a four-weekly rotating winter and summer menu in place.</w:t>
            </w:r>
          </w:p>
          <w:p w:rsidR="00EB7645" w:rsidRPr="00BE00C7" w:rsidP="00BE00C7">
            <w:pPr>
              <w:pStyle w:val="OutcomeDescription"/>
              <w:spacing w:before="120" w:after="120"/>
              <w:rPr>
                <w:rFonts w:cs="Arial"/>
                <w:b w:val="0"/>
                <w:lang w:eastAsia="en-NZ"/>
              </w:rPr>
            </w:pPr>
            <w:r w:rsidRPr="00BE00C7">
              <w:rPr>
                <w:rFonts w:cs="Arial"/>
                <w:b w:val="0"/>
                <w:lang w:eastAsia="en-NZ"/>
              </w:rPr>
              <w:t>Residents’ food preferences are developed on admission which identifies dietary requirements, likes and dislikes and is communicated to the kitchen including any recent changes made. Diets are modified as required and the cook confirmed awareness on dietary needs required by the residents. Meals are served warm in sizeable portions required by residents and any alternatives are offered as required. The residents’ weights are monitored monthly and supplements are provided to residents with identified weight loss issues. Snacks and drinks are available for residents as and when required. The family members and residents interviewed acknowledged satisfaction with the food service.</w:t>
            </w:r>
          </w:p>
          <w:p w:rsidR="00EB7645" w:rsidRPr="00BE00C7" w:rsidP="00BE00C7">
            <w:pPr>
              <w:pStyle w:val="OutcomeDescription"/>
              <w:spacing w:before="120" w:after="120"/>
              <w:rPr>
                <w:rFonts w:cs="Arial"/>
                <w:b w:val="0"/>
                <w:lang w:eastAsia="en-NZ"/>
              </w:rPr>
            </w:pPr>
            <w:r w:rsidRPr="00BE00C7">
              <w:rPr>
                <w:rFonts w:cs="Arial"/>
                <w:b w:val="0"/>
                <w:lang w:eastAsia="en-NZ"/>
              </w:rPr>
              <w:t>All food services staff have completed training in food safety/hygiene. The kitchen and pantry were clean, tidy and well stocked. Labels and dates were on all containers and records of food temperature monitoring, fridges and freezers temperatures are maintained. Regular cleaning is conducted.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 reported that all residents who are declined entry are noted. Reasons for refusal are explained. When a resident is declined entry, family/whanau and the resident are informed of the reason for this and made aware of other options or alternative services available. The resident is referred to the referral agency to ensure that they will be admitted to the appropriate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have their level of care identified through a needs assessment by the assessment agency. Initial nursing assessments are completed within the required time frame on admission while residents’ care plans and interRAI are completed within three weeks according to policy. Assessments and care plans were detailed and included input from the family/whanau, residents and other health team members as appropriate. Additional assessments are completed according to the need; these included pain, behavioural, falls risk, nutritional requirements, continence, skin and pressure assessments. The nursing staff utilised standardised risk assessment tools on admission. In interviews conducted, family/whanau and residents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assessment findings in consultation with the resident and/or family/whanau, inform the care plan and assist in identifying the required support to meet residents’ goals and desired outcomes. The care plans sampled were resident focused and individualised. Short term care plans are used for short-term needs. Family/whanau and residents interviewed confirmed they are involved in the care planning process. Residents’ files demonstrated service integration and evidence of allied healthcare professionals involved in the care of the resident such as the mental health services for older people, district nurses, physiotherapist, podiatrist, dietitian and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Interventions are adequate to address the identified needs in the care plans. Significant changes are reported in a timely manner and prescribed orders carried out satisfactorily as confirmed by the GP. The GP reported that medical input is sought in a timely manner, that medical orders are followed, and care is person centred. Care staff confirmed that care is provided as outlined in the care plan. A range of equipment and resources are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are appropriate to the needs, age and culture of the residents. The activities coordinator develops an activity planner and daily/weekly activities are posted on the notice boards. Residents’ files have a documented activity plan that reflects the resident ‘s preferred activities of choice and is counter signed by the RN. Over the course of the audit, residents were observed being actively involved with a variety of activities. Activity plans are reviewed at least six monthly or when there is any significant change in participation, and this is done in consultation with the RN. The activities vary from scrabble, bingo, music, movies, exercises/walking and church services every weekend. The activities coordinator reported that they have group activities and engage in one on one activities with some residents. Activities are modified according to abilities and cognitive function.</w:t>
            </w:r>
          </w:p>
          <w:p w:rsidR="00EB7645" w:rsidRPr="00BE00C7" w:rsidP="00BE00C7">
            <w:pPr>
              <w:pStyle w:val="OutcomeDescription"/>
              <w:spacing w:before="120" w:after="120"/>
              <w:rPr>
                <w:rFonts w:cs="Arial"/>
                <w:b w:val="0"/>
                <w:lang w:eastAsia="en-NZ"/>
              </w:rPr>
            </w:pPr>
            <w:r w:rsidRPr="00BE00C7">
              <w:rPr>
                <w:rFonts w:cs="Arial"/>
                <w:b w:val="0"/>
                <w:lang w:eastAsia="en-NZ"/>
              </w:rPr>
              <w:t>The planned activities and community connections are suitable for the residents. There are regular outings/drives, for all residents (as appropriate). Residents and family members interviewed reported overall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documented on each shift by care staff in the progress notes. The registered nurses complete progress notes weekly and care staff every shift or as necessary. All noted changes by the care staff are reported to the RNs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following interRAI reassessments to measure the degree of a resident’s response in relation to desired outcomes and goals, occur every six months or as a resident’s needs change. These are carried out by the RNs in conjunction with family, GP and specialist service providers. Where progress is different from expected, the service was seen to respond by initiating changes to the service delivery plan. </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are reviewed weekly or as indicated by the degree of risk noted during the assessment process.  Interviews verified residents and family/whanau are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family/whanau are supported to access or seek referral to other health and/or disability service providers where required. If the need for other non-urgent services are indicated or requested, the GP and the nursing team sends a referral to seek specialist services assistance from the district health board (DHB).  Referrals are followed up on a regular basis by the registered nurses or the GP. The resident and the family are kept informed of the referral process, as verified by documentation and interviews. Acute or urgent referrals are attended to and the resident transferred to the public hospital in an ambulance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(BWOF) which expires on 09 February 2020 was publicly displayed. A site visit by the verifying agency for the BWOF had occurred and the provider is waiting for the paper-work. There have been no structural changes to the building since the previous audit. New flooring in the main corridor, bathroom refurbishments and interior painting have occurred.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the manager and observation of the environment.  The environment was hazard free, residents were safe, and independence was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were safely maintained and appropriate to the resident group and setting.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adequate numbers of accessible bathroom and toilet facilities throughout the facility. Six of the downstairs bedrooms have a toilet attached and all rooms have a wash basin. Hot water temperatures are checked and recorded monthly. Documents showed that temperatures are all within the 45-degree Celsius threshold.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Two bedrooms are shared by two men, all the others are single accommodation. Approval for sharing is documented.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room to store mobility aids, wheelchairs and mobility scooters. Staff and residents reported the adequacy of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and cleaning services are undertaken by care staff, which is suitable and manageable for the number of residents. Staff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All staff have attended education about safe handling of chemicals as confirmed by interview with staff and review of their training records.  Chemicals were stored in a lockable cupboard and were in appropriately labelled containers. The provider of chemicals tests the effectiveness of the cleaning products each time they are on site.</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 and through resident feedback. For example, when residents suspected that the laundry powder in use was causing skin irritations, staff immediately switched to using a different product. Visual inspection revealed that all areas throughout the home were clean and hygienic.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approved fire evacuation scheme for the building and documents to show that trial fire evacuations are occurring at least six-monthly with a copy sent to the New Zealand Fire and Emergency Management Service. The most recent fire drill occurred on 09 December 2019 and a detailed report about the length of time it took to evacuate the building was recorded. The service keeps an updated list of all residents and their mobility or support needs in the event of an emergency.  A hard-wired fire suppression system (sprinklers and smoke detectors) is installed and exit signs are clearly displayed</w:t>
            </w:r>
          </w:p>
          <w:p w:rsidR="00EB7645" w:rsidRPr="00BE00C7" w:rsidP="00BE00C7">
            <w:pPr>
              <w:pStyle w:val="OutcomeDescription"/>
              <w:spacing w:before="120" w:after="120"/>
              <w:rPr>
                <w:rFonts w:cs="Arial"/>
                <w:b w:val="0"/>
                <w:lang w:eastAsia="en-NZ"/>
              </w:rPr>
            </w:pPr>
            <w:r w:rsidRPr="00BE00C7">
              <w:rPr>
                <w:rFonts w:cs="Arial"/>
                <w:b w:val="0"/>
                <w:lang w:eastAsia="en-NZ"/>
              </w:rPr>
              <w:t>A civil defence kit containing essential emergency supplies and equipment is on site and the contents are checked regularly. The facility is storing sufficient water and food for the needs of 23 residents for three plus days and has portable gas cookers and bar-b-que for cooking if required. This meets the Ministry of Civil Defence and Emergency Management recommendations for the region.</w:t>
            </w:r>
          </w:p>
          <w:p w:rsidR="00EB7645" w:rsidRPr="00BE00C7" w:rsidP="00BE00C7">
            <w:pPr>
              <w:pStyle w:val="OutcomeDescription"/>
              <w:spacing w:before="120" w:after="120"/>
              <w:rPr>
                <w:rFonts w:cs="Arial"/>
                <w:b w:val="0"/>
                <w:lang w:eastAsia="en-NZ"/>
              </w:rPr>
            </w:pPr>
            <w:r w:rsidRPr="00BE00C7">
              <w:rPr>
                <w:rFonts w:cs="Arial"/>
                <w:b w:val="0"/>
                <w:lang w:eastAsia="en-NZ"/>
              </w:rPr>
              <w:t>The call bell system is functional, and staff were observed to respond to the bell immediately. Residents and family members stated staff were always attentive and responsive.</w:t>
            </w:r>
          </w:p>
          <w:p w:rsidR="00EB7645" w:rsidRPr="00BE00C7" w:rsidP="00BE00C7">
            <w:pPr>
              <w:pStyle w:val="OutcomeDescription"/>
              <w:spacing w:before="120" w:after="120"/>
              <w:rPr>
                <w:rFonts w:cs="Arial"/>
                <w:b w:val="0"/>
                <w:lang w:eastAsia="en-NZ"/>
              </w:rPr>
            </w:pPr>
            <w:r w:rsidRPr="00BE00C7">
              <w:rPr>
                <w:rFonts w:cs="Arial"/>
                <w:b w:val="0"/>
                <w:lang w:eastAsia="en-NZ"/>
              </w:rPr>
              <w:t>Interview with the manager and staff confirmed that security checks of all doors and windows occurs each day at dusk. There have been no security incidents since the previous audit in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have electric heaters and opening windows and doors for air flow. Each bedroom had plenty of natural light. There were plenty of air circulating fans in use on the days of audit. Residents and families confirmed the environment is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implements an infection prevention and control programme to minimise the risk of infection to residents, staff and visitors. The programme is guided by a current infection control manual, with input from external specialists. The infection control programme is reviewed annually and is incorporated in the monthly meetings and a review of the education programme is conducted.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is the designated infection prevention and control coordinator (ICC), whose role and responsibilities are defined in a job description. Infection control matters, including surveillance results are reported monthly to the quality assurance manager and to the monthly staff and management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provides guidance for staff on how long they must be away from work if they have been unwell. Staff interviewed understood these responsibilities. Vaccination is encouraged for staff and residents. </w:t>
            </w:r>
          </w:p>
          <w:p w:rsidR="00EB7645" w:rsidRPr="00BE00C7" w:rsidP="00BE00C7">
            <w:pPr>
              <w:pStyle w:val="OutcomeDescription"/>
              <w:spacing w:before="120" w:after="120"/>
              <w:rPr>
                <w:rFonts w:cs="Arial"/>
                <w:b w:val="0"/>
                <w:lang w:eastAsia="en-NZ"/>
              </w:rPr>
            </w:pPr>
            <w:r w:rsidRPr="00BE00C7">
              <w:rPr>
                <w:rFonts w:cs="Arial"/>
                <w:b w:val="0"/>
                <w:lang w:eastAsia="en-NZ"/>
              </w:rPr>
              <w:t>There is information that covers aspects of infection control for family/whanau and if they are unwell; it is recommended that they do not visit the service. During higher risk times of community infections and winter months, notices are placed at the door to remind people not to visit if they are unwell. There is sanitising hand gel at the entrance and throughout the service. Hand washing and sanitiser dispensers are readily available around the facility.</w:t>
            </w:r>
          </w:p>
          <w:p w:rsidR="00EB7645" w:rsidRPr="00BE00C7" w:rsidP="00BE00C7">
            <w:pPr>
              <w:pStyle w:val="OutcomeDescription"/>
              <w:spacing w:before="120" w:after="120"/>
              <w:rPr>
                <w:rFonts w:cs="Arial"/>
                <w:b w:val="0"/>
                <w:lang w:eastAsia="en-NZ"/>
              </w:rPr>
            </w:pPr>
            <w:r w:rsidRPr="00BE00C7">
              <w:rPr>
                <w:rFonts w:cs="Arial"/>
                <w:b w:val="0"/>
                <w:lang w:eastAsia="en-NZ"/>
              </w:rPr>
              <w:t>No infection outbreak has been reported since the previous audit. Information on the management of the novel coronavirus was readily available for staff and visitors.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coordinator (ICC) has appropriate skills, knowledge and qualifications for the role and has attended specific education related to infection prevention and control. </w:t>
            </w:r>
          </w:p>
          <w:p w:rsidR="00EB7645" w:rsidRPr="00BE00C7" w:rsidP="00BE00C7">
            <w:pPr>
              <w:pStyle w:val="OutcomeDescription"/>
              <w:spacing w:before="120" w:after="120"/>
              <w:rPr>
                <w:rFonts w:cs="Arial"/>
                <w:b w:val="0"/>
                <w:lang w:eastAsia="en-NZ"/>
              </w:rPr>
            </w:pPr>
            <w:r w:rsidRPr="00BE00C7">
              <w:rPr>
                <w:rFonts w:cs="Arial"/>
                <w:b w:val="0"/>
                <w:lang w:eastAsia="en-NZ"/>
              </w:rPr>
              <w:t>Additional support and information are accessed from an external infection control agency, the infection control team at the DHB and the GP as required. The coordinator has access to residents’ records and diagnostic results to ensure timely treatment and resolution of any infections. The coordinator confirmed the availability of resources and external specialists to support the programme and any potential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accepted good practice. The policies and procedures are developed by the organisation with advice from external specialists. Policies were last reviewed in October 2019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Care delivery, cleaning, laundry and kitchen staff were observed following organisational policies, such as appropriate use of hand-sanitisers, good hand-washing technique and use of disposable aprons and gloves. Staff interviewed verified knowledge of infection control policies and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conducted by the ICC and other specialist consultants. The infection control coordinator attended infection prevention and control training conducted by an external consultant to keep their knowledge current. A record of attendance is maintained and was sighted. The training education information pack is detailed and meets best practice and guidelines. External contact resources included the GP, laboratories and local district health boards. Staff interviewed confirmed an understanding of how to implement infection prevention and control activities into their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programme is appropriate for the size and complexity of the organisation. Infection data is collected, monitored and reviewed monthly. The data is collated and analysed to identify any significant trends or common possible causative factors and action plans are implemented. Staff interviewed reported that they were informed of infection rates at monthly staff meetings and through compiled reports. The GP is informed within the required time frame when a resident has an infection and appropriate antibiotics are prescribed to combat the infection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Alexander Lodge is maintaining its philosophy and practice of being a restraint free environment but has policies in the event that a restraint may be required. The restraint minimisation and safe practice policy contains definitions and information that is congruent with the requirements of this standard. It states that the only approved restraints would be lap belts and bed sides. Policy includes processes for assessment, approval and consent, monitoring and review, evaluation and staff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restraints or enablers in use during this audit.  One resident who had been using a ‘T bar’ to assist with getting out of bed, as an enabler, no longer uses this. </w:t>
            </w:r>
          </w:p>
          <w:p w:rsidR="00EB7645" w:rsidRPr="00BE00C7" w:rsidP="00BE00C7">
            <w:pPr>
              <w:pStyle w:val="OutcomeDescription"/>
              <w:spacing w:before="120" w:after="120"/>
              <w:rPr>
                <w:rFonts w:cs="Arial"/>
                <w:b w:val="0"/>
                <w:lang w:eastAsia="en-NZ"/>
              </w:rPr>
            </w:pPr>
            <w:r w:rsidRPr="00BE00C7">
              <w:rPr>
                <w:rFonts w:cs="Arial"/>
                <w:b w:val="0"/>
                <w:lang w:eastAsia="en-NZ"/>
              </w:rPr>
              <w:t>Staff training and information in relation to restraint and enabler use is ongoing. Information about the restraint policy is provided to new staff during orientation and reminders about restraint or enabler use is mentioned at monthly staff meetings. The staff interviewed could clearly differentiate between a restraint and an enabler and understood their responsibilities in regard to safe use of restraints and enablers.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03"/>
        <w:gridCol w:w="1280"/>
        <w:gridCol w:w="4290"/>
        <w:gridCol w:w="696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service education sessions are held every four weeks on topics related to care of older people. The content of each education session is documented, and each attendee completes a questionnaire related to the training to test their level of understanding. Training sessions are well attended. The owner /manager provides for all staff to maintain their first aid certificates and supports the RNs to maintain their nursing portfolios by attending external training or conferences.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were offered the opportunity to research and prepare a case study on an individual resident (who was willing to participate) then present their findings at staff training. This initiative which started in 2019, has resulted in care staff demonstrating a deeper understanding about the resident’s condition, the purpose of their treatments and often the purpose behind a resident’s behaviour.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Offering care staff, the opportunity to undertake informal research about individual residents is resulting in improved relationships and communication between residents and staff. Residents said they appreciated the one on one time with care staff, and that they felt better understood and valued as an individual. Care staff said that increasing their knowledge helped them to relate in more meaningful ways with the resident, for example to converse about different topics they knew interested the resident and where needed, to better explain the necessity for a procedure to the person. Staff morale and their interest in further learning has increased which was verified by the results of the 2019 staff satisfaction survey and their discussions during performance appraisals.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Chetty's Investment Limited - Alexander Lodge Rest Home</w:t>
    </w:r>
    <w:bookmarkEnd w:id="58"/>
    <w:r>
      <w:rPr>
        <w:rFonts w:cs="Arial"/>
        <w:sz w:val="16"/>
        <w:szCs w:val="20"/>
      </w:rPr>
      <w:tab/>
      <w:t xml:space="preserve">Date of Audit: </w:t>
    </w:r>
    <w:bookmarkStart w:id="59" w:name="AuditStartDate1"/>
    <w:r>
      <w:rPr>
        <w:rFonts w:cs="Arial"/>
        <w:sz w:val="16"/>
        <w:szCs w:val="20"/>
      </w:rPr>
      <w:t>3 February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