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Scovan Healthcare Limited - Taurima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Scovan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Taurima Resthome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January 2020</w:t>
      </w:r>
      <w:bookmarkEnd w:id="7"/>
      <w:r w:rsidRPr="009418D4">
        <w:rPr>
          <w:rFonts w:cs="Arial"/>
        </w:rPr>
        <w:tab/>
        <w:t xml:space="preserve">End date: </w:t>
      </w:r>
      <w:bookmarkStart w:id="8" w:name="AuditEndDate"/>
      <w:r w:rsidR="00A4268A">
        <w:rPr>
          <w:rFonts w:cs="Arial"/>
        </w:rPr>
        <w:t>14 January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Taurima Rest Home provides rest home level care for up to 30 residents.  On the day of the audit there were 28 residents living at the facility.  </w:t>
      </w:r>
    </w:p>
    <w:p w:rsidRPr="00A4268A">
      <w:pPr>
        <w:spacing w:before="240" w:line="276" w:lineRule="auto"/>
        <w:rPr>
          <w:rFonts w:eastAsia="Calibri"/>
        </w:rPr>
      </w:pPr>
      <w:r w:rsidRPr="00A4268A">
        <w:rPr>
          <w:rFonts w:eastAsia="Calibri"/>
        </w:rPr>
        <w:t xml:space="preserve">This certification audit was conducted against the health and disability standards and the contract with the district health board.  The audit process included the review of existing policies and procedures, the review of resident and staff files, observations and interviews with residents, family members, staff, management and general practitioner.  </w:t>
      </w:r>
    </w:p>
    <w:p w:rsidRPr="00A4268A">
      <w:pPr>
        <w:spacing w:before="240" w:line="276" w:lineRule="auto"/>
        <w:rPr>
          <w:rFonts w:eastAsia="Calibri"/>
        </w:rPr>
      </w:pPr>
      <w:r w:rsidRPr="00A4268A">
        <w:rPr>
          <w:rFonts w:eastAsia="Calibri"/>
        </w:rPr>
        <w:t xml:space="preserve">The facility manager is a registered nurse.  She is appropriately qualified and experienced and is supported by a second registered nurse.  Residents and family interviewed were complimentary of the services they receive.  </w:t>
      </w:r>
    </w:p>
    <w:p w:rsidRPr="00A4268A">
      <w:pPr>
        <w:spacing w:before="240" w:line="276" w:lineRule="auto"/>
        <w:rPr>
          <w:rFonts w:eastAsia="Calibri"/>
        </w:rPr>
      </w:pPr>
      <w:r w:rsidRPr="00A4268A">
        <w:rPr>
          <w:rFonts w:eastAsia="Calibri"/>
        </w:rPr>
        <w:t>There is one area of continuous improvement awarded around enhancing communication for the hearing impaired.</w:t>
      </w:r>
    </w:p>
    <w:p w:rsidRPr="00A4268A">
      <w:pPr>
        <w:spacing w:before="240" w:line="276" w:lineRule="auto"/>
        <w:rPr>
          <w:rFonts w:eastAsia="Calibri"/>
        </w:rPr>
      </w:pPr>
      <w:r w:rsidRPr="00A4268A">
        <w:rPr>
          <w:rFonts w:eastAsia="Calibri"/>
        </w:rPr>
        <w:t>This certification audit identified that one improvement is required around their quality system.</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about the services provided is readily available to residents and families/whānau.  The Health and Disability Commissioner (HDC) Code of Health and Disability Services Consumers' Rights (the Code) is available in the information presented to residents and their families during entry to the service.  Policies are implemented to support rights such as privacy, dignity, abuse and neglect, culture, values and beliefs, complaints, advocacy and informed consent.  </w:t>
      </w:r>
    </w:p>
    <w:p w:rsidRPr="00A4268A">
      <w:pPr>
        <w:spacing w:before="240" w:line="276" w:lineRule="auto"/>
        <w:rPr>
          <w:rFonts w:eastAsia="Calibri"/>
        </w:rPr>
      </w:pPr>
      <w:r w:rsidRPr="00A4268A">
        <w:rPr>
          <w:rFonts w:eastAsia="Calibri"/>
        </w:rPr>
        <w:t xml:space="preserve">Māori values and beliefs are understood and respected.  Care planning accommodates individual choices of residents and/or their family/whānau.  Informed consent processes are adhered to.  Residents are encouraged to maintain links with their community.  Complaints processes are implemented, and complaints and concerns are managed appropriately.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Quality and risk management processes are established.  Quality goals are documented for the service.  A risk management programme is in place, which includes a risk management plan, incident and accident reporting, and health and safety processes.  Adverse, unplanned and untoward events are documented by staff.  </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and regular staff education and training are in place.  There are adequate numbers of staff on duty to ensure residents are safe.  When not on site, an RN is on call.  The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Service information is available to potential residents and their families.  The registered nurse takes responsibility for managing entry to the service.  Initial assessments are completed by a registered nurse, including interRAI assessments.  The registered nurse completes care plans and evaluations within the required timeframes.  Care plans are based on the interRAI outcomes and other assessments.  Residents and relatives interviewed confirmed that they were involved in care planning and care review processes.  </w:t>
      </w:r>
    </w:p>
    <w:p w:rsidRPr="00A4268A" w:rsidP="00621629">
      <w:pPr>
        <w:spacing w:before="240" w:line="276" w:lineRule="auto"/>
        <w:rPr>
          <w:rFonts w:eastAsia="Calibri"/>
        </w:rPr>
      </w:pPr>
      <w:r w:rsidRPr="00A4268A">
        <w:rPr>
          <w:rFonts w:eastAsia="Calibri"/>
        </w:rPr>
        <w:t xml:space="preserve">An activity officer coordinates a weekly group activities programme that is varied and interesting and meets the abilities and preferences of the residents.  </w:t>
      </w:r>
    </w:p>
    <w:p w:rsidRPr="00A4268A" w:rsidP="00621629">
      <w:pPr>
        <w:spacing w:before="240" w:line="276" w:lineRule="auto"/>
        <w:rPr>
          <w:rFonts w:eastAsia="Calibri"/>
        </w:rPr>
      </w:pPr>
      <w:r w:rsidRPr="00A4268A">
        <w:rPr>
          <w:rFonts w:eastAsia="Calibri"/>
        </w:rPr>
        <w:t xml:space="preserve">Medicines are stored and managed appropriately in line with legislation and guidelines.  General practitioners review residents at least three monthly or more frequently if needed.  The service has implemented an electronic medication system. </w:t>
      </w:r>
    </w:p>
    <w:p w:rsidRPr="00A4268A" w:rsidP="00621629">
      <w:pPr>
        <w:spacing w:before="240" w:line="276" w:lineRule="auto"/>
        <w:rPr>
          <w:rFonts w:eastAsia="Calibri"/>
        </w:rPr>
      </w:pPr>
      <w:r w:rsidRPr="00A4268A">
        <w:rPr>
          <w:rFonts w:eastAsia="Calibri"/>
        </w:rPr>
        <w:t xml:space="preserve">Meals are prepared on site.  The menu reflects resident preferences and has been reviewed by a dietitian.  Individual dislikes and dietary needs are accommodated.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and emergency evacuation plan.  All rooms have hand basins and are personalised.  The environment is comfortable.  There is adequate room for residents to move freely about the home using mobility aids.  Communal areas are well utilised for group and individual activities.  The dining room and lounge seating placement encourages social interactions.  Outdoor areas are safe and accessible for the rest home residents.  There is adequate equipment for the safe delivery of care.  All equipment is well maintained and on a planned schedule.  All chemicals are stored safely.  The staff maintains a tidy and clean environment.  Systems and supplies are in place for essential, emergency and security services.  There is a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No restraint or enablers were in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coordinator (registered nurse) is responsible for coordinating the infection control programme and providing education and training for staff.  The infection control manual outlines the scope of the programme and includes a comprehensive range of policies and guidelines.  Information is obtained through surveillance to determine infection control activities.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12"/>
        <w:gridCol w:w="1280"/>
        <w:gridCol w:w="93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Commissioner’s (HDC) Code of Health and Disability Services Consumers' Rights (the Code) is available in the information presented to residents and their families during entry to the service.  Policy relating to the Code is implemented.  The facility manager and seven staff interviewed (one staff RN, two caregivers, one activities officer, one maintenance, one cook, one cleaner) could describe the Code and give examples of how it is incorporated into their job role and responsibilities.  Staff receive training on the Code during their induction to the service.  This training continues annually through the staff education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residents’ files reviewed contained signed general consent forms including for photographs, release of information, outings and names on birthday list.  A separate consent form is signed for the facility website and Facebook page.  Residents and family interviewed stated that they had been given adequate information to support them to make an informed choice.  Resuscitation forms had been appropriately signed by the resident and general practitioner (GP).  Where the resident was not competent to make an informed decision, the GP had made a medically indicated resuscitation decision.  Copies of EPOA were on resident files and appropriately activated by the GP as required.  Advance directive where completed were available on the resident file.    </w:t>
            </w:r>
          </w:p>
          <w:p w:rsidR="00EB7645" w:rsidRPr="00BE00C7" w:rsidP="00BE00C7">
            <w:pPr>
              <w:pStyle w:val="OutcomeDescription"/>
              <w:spacing w:before="120" w:after="120"/>
              <w:rPr>
                <w:rFonts w:cs="Arial"/>
                <w:b w:val="0"/>
                <w:lang w:eastAsia="en-NZ"/>
              </w:rPr>
            </w:pPr>
            <w:r w:rsidRPr="00BE00C7">
              <w:rPr>
                <w:rFonts w:cs="Arial"/>
                <w:b w:val="0"/>
                <w:lang w:eastAsia="en-NZ"/>
              </w:rPr>
              <w:t>Admission agreements sighted align with the DHB contract requirements and have been signed within required timeframes.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Health and Disability Commissioner (HDC) advocacy brochures are included in the information provided to new residents and their family/whānau during their entry to the service.  Residents and family interviewed were aware of the role of advocacy services and their right to access support.  The complaints process is linked to advocacy services although has not been needed.  Staff receive training on the role of advocacy services, which begins during their induction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Residents may have visitors of their choice at any time.  The service encourages residents to maintain their relationships with friends and community groups.  Assistance is provided by the care staff to ensure that the residents participate in as much as they can safely and desire to do, as evidenced through interviews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Community links are established with a wide range of organisations (eg, Age Concern, Alzheimers New Zealand, local library and local churches).  Residents regularly visit nearby cafes and shops and can take a taxi to town.  Other rest homes visit the facility and vice versa.  Church services are available on 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families during the resident’s entry to the service.  Access to complaints forms are located at reception.  </w:t>
            </w:r>
          </w:p>
          <w:p w:rsidR="00EB7645" w:rsidRPr="00BE00C7" w:rsidP="00BE00C7">
            <w:pPr>
              <w:pStyle w:val="OutcomeDescription"/>
              <w:spacing w:before="120" w:after="120"/>
              <w:rPr>
                <w:rFonts w:cs="Arial"/>
                <w:b w:val="0"/>
                <w:lang w:eastAsia="en-NZ"/>
              </w:rPr>
            </w:pPr>
            <w:r w:rsidRPr="00BE00C7">
              <w:rPr>
                <w:rFonts w:cs="Arial"/>
                <w:b w:val="0"/>
                <w:lang w:eastAsia="en-NZ"/>
              </w:rPr>
              <w:t>A record of complaints received is maintained by the facility manager using a complaint register.  One consumer complaint was received in 2018 and three in 2019.  No complaints have been received for 2020 (year-to-date).  Documentation evidenced that complaints received were managed in accordance with HDC guidelines.  Timeframes for responding to each complaint were met and all three complaints reviewed for 2019 were documented as resolved.</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families confirmed that they were provided with information on the complaints process and remarked that any concerns or issues they may have had were addressed promptly.  Complaints received were not being addressed in staff meetings (link 1.2.3.6).</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HDC advocacy service are included in the resident information that is provided to new residents and their families.  The RN discusses aspects of the Code with residents and their family on admission.  Discussions relating to the Code are also held during the monthly resident meetings.  All eight residents and three family interviewed reported that the residents’ rights were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personal belongings are used to decorate their rooms.  Privacy signage is in place on communal toilet and shower doors.  There is one double room that was being occupied by one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interviewed reported that they knock on bedroom doors prior to entering rooms, ensure doors are shut when cares are being given and do not hold personal discussions in public areas.  They reported that they promote the residents' independence by encouraging them to be as active as possible.  Residents and families interviewed and observations during the audit confirmed that the residents’ privacy is respected.  </w:t>
            </w:r>
          </w:p>
          <w:p w:rsidR="00EB7645" w:rsidRPr="00BE00C7" w:rsidP="00BE00C7">
            <w:pPr>
              <w:pStyle w:val="OutcomeDescription"/>
              <w:spacing w:before="120" w:after="120"/>
              <w:rPr>
                <w:rFonts w:cs="Arial"/>
                <w:b w:val="0"/>
                <w:lang w:eastAsia="en-NZ"/>
              </w:rPr>
            </w:pPr>
            <w:r w:rsidRPr="00BE00C7">
              <w:rPr>
                <w:rFonts w:cs="Arial"/>
                <w:b w:val="0"/>
                <w:lang w:eastAsia="en-NZ"/>
              </w:rPr>
              <w:t>Guidelines on abuse and neglect are documented in policy.  Staff receive education and training on abuse and neglect, which begins during their induction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Māori health policy is documented for the service.  The care staff interviewed reported that they value and encourage active participation and input from the family/whānau in the day-to-day care of the residents.  There were two residents who identified as Māori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Each Māori resident has a Māori care plan completed that is linked to te whare tapa whā (sighted).  Kaumātua and kuia are accessed through Tui Ora Health and through Taranaki Base Hospital.  A kaumātua who has a family member living at the facility visits the facility regularly.  This resident was interviewed, and their file was reviewed.  The resident confirmed that their values and beliefs were upheld by the service.  He is learning te reo Māori and shared his whakapapa with the auditor during the interview.  The second Māori resident was unable to be interviewed but was observed listening to music in te reo Māori.</w:t>
            </w:r>
          </w:p>
          <w:p w:rsidR="00EB7645" w:rsidRPr="00BE00C7" w:rsidP="00BE00C7">
            <w:pPr>
              <w:pStyle w:val="OutcomeDescription"/>
              <w:spacing w:before="120" w:after="120"/>
              <w:rPr>
                <w:rFonts w:cs="Arial"/>
                <w:b w:val="0"/>
                <w:lang w:eastAsia="en-NZ"/>
              </w:rPr>
            </w:pPr>
            <w:r w:rsidRPr="00BE00C7">
              <w:rPr>
                <w:rFonts w:cs="Arial"/>
                <w:b w:val="0"/>
                <w:lang w:eastAsia="en-NZ"/>
              </w:rPr>
              <w:t>Education on cultural awareness begins during the new employee’s induction to the service and continues as a regular education topic.  The caregivers interviewed provided examples of how they ensure Māori values and beliefs are upheld by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and desires from the time of admission.  This is achieved in collaboration with the resident, whānau/family and/or their representative.  The staff demonstrated through interviews and observations that they are committed to ensuring each resident remains a person, even in a state of decline.  Beliefs and values are discussed and incorporated into the resident care plan, evidenced in all six care plans reviewed.  Residents and family/whānau interviewed confirmed they were involved in developing the resident’s plan of care, which includes the identification of individual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discussed with each new employee during their induction to the service.  Professional boundaries are described in job descriptions.  Interviews with the care staff confirmed their understanding of professional boundaries including the boundaries of the caregivers’ role and responsibilities.  Professional boundaries are reconfirmed through education and training,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available either on site (Monday – Friday) or on call 24 hours a day, seven days a week.  Residents are reviewed by a general practitioner (GP) every three months at a minimum.  All resident rooms are of a good standard.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monthly.  Residents and family/whānau interviewed reported that they are either satisfied or very satisfied with the services received.  A resident/family satisfaction survey is completed annually and confirmed residents experience high levels of satisfaction with the services received.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support from the district health board (DHB) which includes (but is not limited to) specialists visits (geriatrician, hospice, mental health services, dental care, dietitian).  Physiotherapy services are provided as needed.  A van is available for regular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environment allows for close relationships between the staff and residents.  Taurima prides itself on its family atmosphere.  They make every effort to ensure that the residents and staff know that Taurima is a safe place to live/work where they are amongst friends.  Care staff know the residents personally and treat them as individuals, with dignity and respect as observed during the audit.  Care is individualised and holistic to meet the needs of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open disclosure policy is based on the principle that residents and their families have a right to know what has happened to them and to be fully informed at all times.  The care staff interviewed understood about open disclosure and provide appropriate information when required.  </w:t>
            </w:r>
          </w:p>
          <w:p w:rsidR="00EB7645" w:rsidRPr="00BE00C7" w:rsidP="00BE00C7">
            <w:pPr>
              <w:pStyle w:val="OutcomeDescription"/>
              <w:spacing w:before="120" w:after="120"/>
              <w:rPr>
                <w:rFonts w:cs="Arial"/>
                <w:b w:val="0"/>
                <w:lang w:eastAsia="en-NZ"/>
              </w:rPr>
            </w:pPr>
            <w:r w:rsidRPr="00BE00C7">
              <w:rPr>
                <w:rFonts w:cs="Arial"/>
                <w:b w:val="0"/>
                <w:lang w:eastAsia="en-NZ"/>
              </w:rPr>
              <w:t>Families interviewed confirmed they are kept informed of the resident’s status, including any events adversely affecting the resident.  Fifteen accident/incident forms reviewed reflected documented evidence of families being informed following an adverse event.  A communication sheet, held in the front of the resident’s file, also documents the type of adverse events families wish to be informed about.</w:t>
            </w:r>
          </w:p>
          <w:p w:rsidR="00EB7645" w:rsidRPr="00BE00C7" w:rsidP="00BE00C7">
            <w:pPr>
              <w:pStyle w:val="OutcomeDescription"/>
              <w:spacing w:before="120" w:after="120"/>
              <w:rPr>
                <w:rFonts w:cs="Arial"/>
                <w:b w:val="0"/>
                <w:lang w:eastAsia="en-NZ"/>
              </w:rPr>
            </w:pPr>
            <w:r w:rsidRPr="00BE00C7">
              <w:rPr>
                <w:rFonts w:cs="Arial"/>
                <w:b w:val="0"/>
                <w:lang w:eastAsia="en-NZ"/>
              </w:rPr>
              <w:t>An interpreter service is available and accessible if required, through the district health board.  Families and staff are utilised in the first instance.  There was one resident who spoke English but was gradually reverting to their native language.  Family assist with interpreter services as required.</w:t>
            </w:r>
          </w:p>
          <w:p w:rsidR="00EB7645" w:rsidRPr="00BE00C7" w:rsidP="00BE00C7">
            <w:pPr>
              <w:pStyle w:val="OutcomeDescription"/>
              <w:spacing w:before="120" w:after="120"/>
              <w:rPr>
                <w:rFonts w:cs="Arial"/>
                <w:b w:val="0"/>
                <w:lang w:eastAsia="en-NZ"/>
              </w:rPr>
            </w:pPr>
            <w:r w:rsidRPr="00BE00C7">
              <w:rPr>
                <w:rFonts w:cs="Arial"/>
                <w:b w:val="0"/>
                <w:lang w:eastAsia="en-NZ"/>
              </w:rPr>
              <w:t>A hearing specialist visits the facility once every three months to test and clean the residents’ hearing aids.  A recent quality initiative has addressed residents who are hearing impaired.  This has resulted in a rating of continuous improvement (link 1.3.7.1).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Taurima Rest Home provides care for up to 30 residents at rest home level of care.  At the time of the audit, there were 28 residents.  Two residents were private boarders and the remaining 26 residents were on the age-related residential care services (ARCC) contract.</w:t>
            </w:r>
          </w:p>
          <w:p w:rsidR="00EB7645" w:rsidRPr="00BE00C7" w:rsidP="00BE00C7">
            <w:pPr>
              <w:pStyle w:val="OutcomeDescription"/>
              <w:spacing w:before="120" w:after="120"/>
              <w:rPr>
                <w:rFonts w:cs="Arial"/>
                <w:b w:val="0"/>
                <w:lang w:eastAsia="en-NZ"/>
              </w:rPr>
            </w:pPr>
            <w:r w:rsidRPr="00BE00C7">
              <w:rPr>
                <w:rFonts w:cs="Arial"/>
                <w:b w:val="0"/>
                <w:lang w:eastAsia="en-NZ"/>
              </w:rPr>
              <w:t>Taurima Rest Home is owned by a couple who live in New Plymouth.  They also own two other care facilities.  The owners meet with the facility manager every two-three months (meeting minutes sighted).  A 2017-2019 business plan includes goals, objectives and actions.  Goals are regularly reviewed by the owners and facility manager.  Work is currently underway on the development of an updated business plan for 2020.  A draft is currently in place with plans to finalise the plan later in January.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managed by a facility manager who is a registered nurse with a current practising certificate.  She has worked in aged care for many years and will have been in her current role for two years in April 2020.  She is assisted by a part-time registered nurse who has worked at this facility for over 20 years and is on site three days a week.  The staff RN shares the on-call RN roster with the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maintained at least eight hours annually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RN is responsible in the absence of the facility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and risk management system is established, which is understood by the facility manager and staff.  Policies and procedures align with current accepted practice.  Policies are reviewed two-yearly unless changes occur more frequently.  A document review schedule is in place.  New policies and updates to existing policies are discussed in staff meetings.</w:t>
            </w:r>
          </w:p>
          <w:p w:rsidR="00EB7645" w:rsidRPr="00BE00C7" w:rsidP="00BE00C7">
            <w:pPr>
              <w:pStyle w:val="OutcomeDescription"/>
              <w:spacing w:before="120" w:after="120"/>
              <w:rPr>
                <w:rFonts w:cs="Arial"/>
                <w:b w:val="0"/>
                <w:lang w:eastAsia="en-NZ"/>
              </w:rPr>
            </w:pPr>
            <w:r w:rsidRPr="00BE00C7">
              <w:rPr>
                <w:rFonts w:cs="Arial"/>
                <w:b w:val="0"/>
                <w:lang w:eastAsia="en-NZ"/>
              </w:rPr>
              <w:t>Quality management systems are linked to internal audits, incident and accident reporting, and health and safety reporting.  Missing was evidence of infection control data analysis and keeping staff informed regarding trends in infections.  Staff were also not informed of complaints received and corrective action taken (if any) as evidenced in the staff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collected for a range of adverse events (eg, skin tears, bruising, falls, medication errors and challenging behaviours) is collated and analysed.  A significant amount of work has been undertaken to reduce the number of resident falls.  An internal audit programme is being implemented.  Internal audit results and adverse event trends are discussed with staff as evidenced during interviews with staff and in staff meeting minutes.  Where improvements are identified, corrective actions are documented and signed off by the facility manager when actioned.  </w:t>
            </w:r>
          </w:p>
          <w:p w:rsidR="00EB7645" w:rsidRPr="00BE00C7" w:rsidP="00BE00C7">
            <w:pPr>
              <w:pStyle w:val="OutcomeDescription"/>
              <w:spacing w:before="120" w:after="120"/>
              <w:rPr>
                <w:rFonts w:cs="Arial"/>
                <w:b w:val="0"/>
                <w:lang w:eastAsia="en-NZ"/>
              </w:rPr>
            </w:pPr>
            <w:r w:rsidRPr="00BE00C7">
              <w:rPr>
                <w:rFonts w:cs="Arial"/>
                <w:b w:val="0"/>
                <w:lang w:eastAsia="en-NZ"/>
              </w:rPr>
              <w:t>Resident satisfaction surveys are completed annually with the last survey completed in September 2019.  Twenty-six surveys were handed out and eighteen were returned.  The overall majority of responses indicated that residents were either satisfied or very satisfied with the service received.  This was also confirmed during interviews with residents and families.  Results were shared with staff, evidenced in the September meeting minutes.  Corrective actions were implemented where a resident expressed a concern.  No trends were identified.</w:t>
            </w:r>
          </w:p>
          <w:p w:rsidR="00EB7645" w:rsidRPr="00BE00C7" w:rsidP="00BE00C7">
            <w:pPr>
              <w:pStyle w:val="OutcomeDescription"/>
              <w:spacing w:before="120" w:after="120"/>
              <w:rPr>
                <w:rFonts w:cs="Arial"/>
                <w:b w:val="0"/>
                <w:lang w:eastAsia="en-NZ"/>
              </w:rPr>
            </w:pPr>
            <w:r w:rsidRPr="00BE00C7">
              <w:rPr>
                <w:rFonts w:cs="Arial"/>
                <w:b w:val="0"/>
                <w:lang w:eastAsia="en-NZ"/>
              </w:rPr>
              <w:t>An interview was conducted with the health and safety officer who is the facility manager.  Staff receive health and safety training, which begins during their induction to the service.  Health and safety is a regular topic covered in the monthly staff meetings.  Actual and potential risks are documented on the hazard register, which identifies risk ratings and documents actions to eliminate or minimise the risk.  Contractors are inducted into the health and safety programme, confirmed when reviewing completed contractor health and safety checklists.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management strategies include sensor mats, intentional rounding, and reviewing residents at risk of falling in staff meetings.  A falls clock has been initiated and is posted in the staff room to identify times when residents are at a greater risk of falling.  A specific falls management plan is developed for each resident who is identified as a high risk of falling.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reporting policy includes definitions and outlines responsibilities.  Individual reports are completed for each incident/accident with immediate action documented including any follow-up action(s) required.  Incident/accident data is linked to the organisation's quality and risk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accident/incident forms were reviewed (thirteen falls, one skin tear, one health and safety event).  Each event involving a resident reflected a clinical assessment and follow-up by a registered nurse.  Neurologic observations are documented for any suspected head injury.  The facility manager signs off each event.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aware of her responsibility to notify relevant authorities in relation to essential notifications with two examples provided (one wandering resident, one pressure injury).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are in place, including recruitment, selection, orientation and staff training and development.  Five staff files reviewed (one RN, one cook, two caregivers, one activities officer) included evidence of the recruitment process, signed employment contracts, reference checking and completed orientation programmes.  The orientation programme provides new staff with relevant information for safe work practice.  Competencies are completed specific to worker type.  Staff interviewed stated that they believed new staff were adequately orientated to the service.</w:t>
            </w:r>
          </w:p>
          <w:p w:rsidR="00EB7645" w:rsidRPr="00BE00C7" w:rsidP="00BE00C7">
            <w:pPr>
              <w:pStyle w:val="OutcomeDescription"/>
              <w:spacing w:before="120" w:after="120"/>
              <w:rPr>
                <w:rFonts w:cs="Arial"/>
                <w:b w:val="0"/>
                <w:lang w:eastAsia="en-NZ"/>
              </w:rPr>
            </w:pPr>
            <w:r w:rsidRPr="00BE00C7">
              <w:rPr>
                <w:rFonts w:cs="Arial"/>
                <w:b w:val="0"/>
                <w:lang w:eastAsia="en-NZ"/>
              </w:rPr>
              <w:t>A register of current practising certificates for health professionals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schedule that is being implemented.  Staff meetings precede in-services with high numbers of staff attending.  Staff who are unable to attend are provided with meeting minutes and comprehensive notes from the in-service.  They are required to sign that they have read this information.</w:t>
            </w:r>
          </w:p>
          <w:p w:rsidR="00EB7645" w:rsidRPr="00BE00C7" w:rsidP="00BE00C7">
            <w:pPr>
              <w:pStyle w:val="OutcomeDescription"/>
              <w:spacing w:before="120" w:after="120"/>
              <w:rPr>
                <w:rFonts w:cs="Arial"/>
                <w:b w:val="0"/>
                <w:lang w:eastAsia="en-NZ"/>
              </w:rPr>
            </w:pPr>
            <w:r w:rsidRPr="00BE00C7">
              <w:rPr>
                <w:rFonts w:cs="Arial"/>
                <w:b w:val="0"/>
                <w:lang w:eastAsia="en-NZ"/>
              </w:rPr>
              <w:t>There are 12 caregivers employed.  Two caregivers have achieved their level four Careerforce qualification, five have achieved their level three qualification and one caregiver has begun her level two Careerforce training.  Both RNs have completed their interRAI training.  Staff who administer medications have completed annual medication competencies and the RNs complete annual syringe driver competencies.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staffing policy aligns with contractual requirements.  A minimum of one RN is on site Monday – Friday during the day.  The facility manager is responsible for clinical operations two days a week and the staff RN works the remaining three days a week.  Both RNs share on-call responsibilities.  An RN is available on-call 24 hours a day,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caregivers available with a minimum of two caregivers rostered during each shift.  One long and one short shift (till 1400) cover the AM shift.  One long and one short shift (till 2100) cover the PM shift and two caregivers cover the night shift.  Caregivers are expected to do the laundry with separate cleaning staff.</w:t>
            </w:r>
          </w:p>
          <w:p w:rsidR="00EB7645" w:rsidRPr="00BE00C7" w:rsidP="00BE00C7">
            <w:pPr>
              <w:pStyle w:val="OutcomeDescription"/>
              <w:spacing w:before="120" w:after="120"/>
              <w:rPr>
                <w:rFonts w:cs="Arial"/>
                <w:b w:val="0"/>
                <w:lang w:eastAsia="en-NZ"/>
              </w:rPr>
            </w:pPr>
            <w:r w:rsidRPr="00BE00C7">
              <w:rPr>
                <w:rFonts w:cs="Arial"/>
                <w:b w:val="0"/>
                <w:lang w:eastAsia="en-NZ"/>
              </w:rPr>
              <w:t>Staffing is flexible to meet the acuity and needs of the residents.  Interviews with residents and families confirmed staffing levels were satisfactory.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An initial support plan is also developed in this time.  Personal resident information is kept confidential and cannot be viewed by other residents or members of the public.  Archived records are secure in a separate locked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demonstrated service integration with information held in four separate folders.  Entries are legible, dated, timed and signed by the relevant caregiver or RN, including their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Residents receive an information pack outlining services able to be provided, the admission process and entry to the service.  The manager/registered nurse screens all potential residents prior to entry.  Residents and relatives interviewed confirmed they received information prior to admission and had the opportunity to discuss the admission agreement with the manager.  Enquiry forms are completed for all potential residents or respite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admissions to hospital are managed appropriately and relevant information is communicated to the DHB.  The service ensures appropriate transfer of information occurs.  Relatives are notified if transfers occur.  One resident file was reviewed who had required transfer to the public hospital.  The file evidenced that family were informed, and that all transfer documentation was completed as per policy and sent with the resident on transfer to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RNs and senior caregivers who administer medications complete annual medication competencies and medication education.  Medications (blister packs) are checked on delivery against the electronic medication chart and signed in by the RN.  All medications are stored safely.  The medication cupboard is being monitored for air temperature.  All medications were prescribed for a resident.  There were no self-medicating residents on the day of audit.  The medication fridge monitoring is weekly, and temperatures were within the acceptable limits.  Eye drops in the medication trolley had been dated on opening.  A caregiver administering medications was observed to be compliant with medication administration policy and procedure.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charts on the electronic medication system (implemented May 2019) were reviewed.  The medication charts met prescribing legislative requirements.  ‘As required’ medications had indications for use.  Medication charts had photo identification and allergy status documented.  The GP reviews the medication charts at least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home baking are prepared and cooked on site by two cooks working a four day on, four day off roster.  They are supported by an afternoon kitchenhand.  The cook prepares and cooks meals as per the menu plan last reviewed by a dietitian September 2018.  Resident preferences are reflected in the menu.  The main meal is at midday.  The cook receives a resident dietary profile and any dislikes or food allergies are accommodated.  The cook is notified of any resident dietary requirements.  Diabetic desserts and soft diets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has been verified and expires November 2020.  The food control plan from is completed daily and includes fridge, freezer and chiller temperatures.  End-cooked meat temperatures are taken and recorded.  The kitchen is adjacent to the dining room where meals are served from the servery.  Serving temperatures are recorded.  All food services staff have completed food safety and hygiene training.  All perishable foods and dry goods were date labelled.  The dishwasher is checked regularly by the chemical provider.  Chemicals were stored safely.  A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been active in improving the quality of meals and resident satisfaction due to food dissatisfaction identified in a 2018 survey, resident meetings and food complaints.  Food discussion was added to the monthly resident meeting agenda.  Feedback resulted in resident preferences being included in the menu plan which was then reviewed by the dietitian.  Further education was provided for kitchen staff.  The midday meal was observed, and several residents interviewed stated the meals have improved.  The cook (interviewed) interacts with residents at mealtimes and receives feedback on the meals.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accepting/declining entry to service policies.  The referral agency and potential resident and/or family member would be informed of the reason for declining entry.  Reasons for declining entry would be if there are no beds available or the service cannot provide the level of care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reviewed demonstrated that all appropriate personal needs information is gathered during admission in consultation with the resident and their relative where appropriate.  Medical notes and discharge summaries were available.  Files reviewed contained appropriate assessment tools that were completed such as Waterlow (pressure injury risk), Coombes (falls risk) and pain assessments.  Assessment tools were reviewed as part of the six monthly interRAI assessment or earlier if there were changes to health.  Care plans sampled were developed based on these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residents’ long-term care plans reviewed were resident-focused and individualised.  Care plans documented the required supports/needs, goals and interventions to reflect the resident’s current health status in all resident files reviewed.  A quick care guide provides a current summary of resident needs/supports for care staff and is updated following changes made to the long-term care plan.  Relatives interviewed confirmed they were involved in the care planning process.  Long-term care plans evidenced resident and/or relative involvement in the development of care plans with a signature on the front page of the care plan.  Short-term care plans were sighted for short-term needs and these were either resolved or transferred to the long-term care plan.  There was evidence of allied health care professionals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GP or nurse specialist consultation.  There is documented evidence on the family communication form that family members were notified of any changes to their relative’s health including (but not limited to) accident/incidents, infections, GP visits, care plan reviews and changes in medications.  Family members interviewed confirmed their relative’s needs were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Wound management policies and procedures are in place.  A wound assessment and wound care plan/evaluations were in place for two residents with chronic wounds.  The chronic wounds were linked to the long-term care plans.  There were no pressure injuries on the day of audit.  The district nurses, and ulcer clinic had been involved in the care of the chronic wounds (leg ulcers).  The service has access to the DHB wound nurse specialist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The residents’ files include a urinary continence assessment, bowel management plan, and continence products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blood pressure, weight, vital signs, blood glucose, pain, challenging behaviours, food and fluid intake, skin assessment checks, sleep monitoring, resident checks and neurological observations.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an activity officer for 25 hours per week (1000 to 1500) Monday to Friday, to coordinate and implement the activity programme.  The activity officer attends the two monthly regional diversional support group.  The programme is planned in advance with the weekly programme being displayed.  The activity officer makes daily contact with residents and reminds them of upcoming activities.  Activities reflect resident preferences including newspaper reading/current affairs, “move it” exercises, word games, art, bowls, happy hours and movies.  There are two volunteers who assist with activities and outings.  Individual resident abilities to participate are assessed on admission and accommodated.  One-on-one time is spent with residents with dementia, looking through picture books, photos, garden walks, remising and involving the resident in meaningful activities such as household tasks.  The service has introduced a sound system for the hard of hearing residents which has increased their participation in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enjoy inter-home visits for bowls competition’s and quizzes.  The service has a van and there are regular outings (men’s and ladies) to places of interest, including a drive through the park to see the Christmas lights.  There are fortnightly outings to Age Concern lunches and concerts.  Church services are held on site monthly.    Events and festive occasions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“this is your life” profile is completed for each resident.  The activity plan/social activity is included in the long-term care plan which is evaluated six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on activities at the monthly resident meetings.  Residents interviewed were satisfied with the activities and enjoy the outings.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 care plans reviewed were evaluated by the RNs within three weeks of admission and a long-term care plan developed.  Care plans had been evaluated six monthly for residents who had been at the service six months.  Written evaluations identified if the desired goals had been met or unmet.  There was a written record of the resident/relative review meeting.  Input is sought from caregivers, GP and the activity officer.  The GP reviews the residents at least three monthly or earlier if required.  Ongoing nursing evaluations occur as indicated and are documented within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resident files.  The RNs initiate referrals to nurse specialists and allied health services.  Other specialist referrals are made by the GPs.  Referrals and options for care were discussed with the family, as evidenced in medical notes and the family communication form.  The registered nurse provided an example of where a resident’s condition had changed, and the resident was reassessed from respite care to rest home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were all stored in locked rooms/cupboards safely throughout the facility.  Safety datasheets are available.  Relevant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current building warrant of fitness that expires September 2020.  There is a basement used for storage which is not accessible to residents.  A maintenance person is employed three hours a day for four days of the week to carry out maintenance and repairs and maintain gardens and grounds.  Staff report repairs and requests into a maintenance book that is checked daily and signed off when repairs are completed.  There are weekly, monthly, three-monthly and six-monthly planned maintenance schedules in place.  Planned maintenance includes checks on resident mobility aids, call bells, civil defence equipment and monthly and hot water temperatures.  All water temperatures in resident areas are below 45 degrees Celsius.  Testing and tagging of electrical equipment has been completed.  The chair scales were due for calibration in December 2019; however, an email was sighted stating the contractor will complete a calibration on 29 January 2020.  Essential contractors are available 24 hours a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physical environment allows easy access to communal areas for the residents and promotes independence for residents with mobility aids.  Environmental improvements include painting of all hallways and a larger TV in the lounge.  Resident rooms are refurbished as they become vacant.  Larger numbers have been put on the rooms to assist residents to find their room.  The grounds and gardens are well maintained and provide seating and shade.  There are raised garden beds.  Currently there are no residents who smoke.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stated they had sufficient equipment to carry out the cares for residents as outlined in the care plans.  There are sensor mats, a standing hoist and sling hoist available for resident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have handbasins.  There are an adequate number communal toilet and showering facilities.  Privacy locks are in place.  All residents interviewed confirmed their privacy was maintained while attending to personal hygiene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aids.  One larger room has been certified for a double room and is currently single occupancy.  Residents are encouraged to personalise their bedrooms as observed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dining room and large separate lounge for the residents.  The main dining room is adjacent to the kitchen area.  There is a second small lounge (open plan) with seating arranged to allow for one-on- one activities, small group activities or visitors to use.  All areas including the outdoors are easily accessible for the residents.  The furnishings and seating are appropriate for the resident group.  Residents were seen to be moving freely within the communal areas throughout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designated cleaner from Monday to Friday.  Caregivers complete the laundry of personal clothing and linen.  The cleaning trolley is well equipped with colour coded cleaning equipment.  All chemical bottles are labelled.  Protective wear including plastic aprons, gloves and goggles were available in the sluice/laundry.  On the day of audit, staff were observed wearing correct protective clothing when carrying out their duties.  The laundry has a clean/dirty flow.  The chemical provider monitors the effectiveness of laundry processes.  Residents interviewed expressed satisfaction with cleaning and laundry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 are documented for the service.  Fire drills occur every six months (at a minimum) with the most recent drill taking place on 4 December 2019.  The orientation programme and annual education and training programme include fire and security training with sufficient numbers attending this mandatory training.  Staff interviewed confirmed their understanding of emergency procedures.  Required fire equipment was sighted on the day of audit.  Fire equipment has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civil defence plan is documented for the service.  There are adequate supplies available in the event of a civil defence emergency including food, water, and blankets.  A gas barbeque is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call bell system is in place.  Residents were observed in their rooms with their call bell alarms in close proximity.  Call bells are checked monthly by maintenance staff.  Residents interviewed reported that call bells were responded to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minimum of one staff member available 24 hours a day, seven days a week with a current first aid/CPR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kept locked from dusk to dawn.  Security checks are conducted two hourly by staff from 2330 to 0530 to ensure the external doors/windows are closed and secure.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and ventilated.  Residents are able to adjust the heating in their rooms.  All rooms have external windows that open, allowing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(IC) programme is appropriate for the size and complexity of the service.  The registered nurse is the IC coordinator with a job description that outlines the responsibility of the role.  She is supported by the manager/RN.  The monthly infection control report is discussed at the monthly staff meeting.  The IC programme is set out annually with input from the manager and the general manager/owner/RN.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There are hand sanitisers appropriately placed throughout the facility.  There are adequate supplies of personal protective clothing.  Residents are offered the influenza vaccine.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team of two RNs (manager and IC coordinator) oversee infection control across the service.  The IC coordinator has completed a Careerforce unit in infection control (level 4) and attended wound care education.  The facility also has access to an infection control nurse specialist at the DHB, public health, GPs and practice nurses.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that are current and reflect the infection control standard SNZ HB 8134:2008, legislation and good practice.  These are regularly reviewed by the manager/RN.  The infection control policies link to other documentation and cross reference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The infection control coordinator or manager complete orientation with new staff including hand hygiene and standard precautions and ongoing as part of the annual training schedule.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occurs as part of providing daily cares.  Care plans include ways to assist staff in ensuring this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uses the information obtained through surveillance to determine infection control activities, resources, and education needs.  Internal infection control audits on all areas of service assist the service in evaluating infection control needs.  There is liaison with the GP and laboratory staff that advise and provide feedback/information to the service.  The GP and the service monitor the use of antibiotics.  Infection control data is collated monthly and reported at the monthly staff meeting, however there is no documented evidence of analysing the data for trends (upwards or downwards) (link 1.2.3.6).  Individual resident infection control summaries are maintained and short-term care plans for infections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restraint minimisation.  No residents were using restraints or enablers.  The facility manager is the designated restraint coordinator.  She is knowledgeable regarding this role.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around restraint minimisation and managing challenging behaviours.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01"/>
        <w:gridCol w:w="1280"/>
        <w:gridCol w:w="5458"/>
        <w:gridCol w:w="2006"/>
        <w:gridCol w:w="219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for a range of adverse events but was missing for infection control data.  Staff are informed of audit results, satisfaction survey results and adverse event data, however meeting minutes do not reflect they are not kept informed regarding infection control statistics and complaints received.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Data analyses is missing for infection control surveillance reporting</w:t>
            </w:r>
          </w:p>
          <w:p w:rsidR="00EB7645" w:rsidRPr="00BE00C7" w:rsidP="00BE00C7">
            <w:pPr>
              <w:pStyle w:val="OutcomeDescription"/>
              <w:spacing w:before="120" w:after="120"/>
              <w:rPr>
                <w:rFonts w:cs="Arial"/>
                <w:b w:val="0"/>
                <w:lang w:eastAsia="en-NZ"/>
              </w:rPr>
            </w:pPr>
            <w:r w:rsidRPr="00BE00C7">
              <w:rPr>
                <w:rFonts w:cs="Arial"/>
                <w:b w:val="0"/>
                <w:lang w:eastAsia="en-NZ"/>
              </w:rPr>
              <w:t>(ii). Staff meeting minutes do not adequately reflect infection control surveillance data/analyses and complaints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infection control data is analysed.</w:t>
            </w:r>
          </w:p>
          <w:p w:rsidR="00EB7645" w:rsidRPr="00BE00C7" w:rsidP="00BE00C7">
            <w:pPr>
              <w:pStyle w:val="OutcomeDescription"/>
              <w:spacing w:before="120" w:after="120"/>
              <w:rPr>
                <w:rFonts w:cs="Arial"/>
                <w:b w:val="0"/>
                <w:lang w:eastAsia="en-NZ"/>
              </w:rPr>
            </w:pPr>
            <w:r w:rsidRPr="00BE00C7">
              <w:rPr>
                <w:rFonts w:cs="Arial"/>
                <w:b w:val="0"/>
                <w:lang w:eastAsia="en-NZ"/>
              </w:rPr>
              <w:t>(ii). Ensure staff are kept informed regarding infection control surveillance data/analyses and complaints received (if any).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1437"/>
        <w:gridCol w:w="931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who are hearing impaired have expressed higher levels of satisfaction since a microphone sound system was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It was observed by staff that the number of residents attending activities had declined.  It was also observed that some residents were struggling to hear what was being said in residents’ meetings and therefore tended to disengage.  A survey was completed that indicated in 20 of 25 surveys returned that a selection of residents were struggling with their hearing.  A raffle raised money for a new microphone sound system.  This sound system is now being used during various group activities (eg, bingo, word games, residents’ meetings).  A post survey was conducted to measure the levels of satisfaction with the sound system.  Fifteen of twenty-seven residents acknowledged that the new sound system was effective.  It was also confirmed in an interview with the activities officer that residents are engaging more in activities and in residents’ meetings which she attributes to this quality initiative.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Scovan Healthcare Limited - Taurima Rest Home</w:t>
    </w:r>
    <w:bookmarkEnd w:id="58"/>
    <w:r>
      <w:rPr>
        <w:rFonts w:cs="Arial"/>
        <w:sz w:val="16"/>
        <w:szCs w:val="20"/>
      </w:rPr>
      <w:tab/>
      <w:t xml:space="preserve">Date of Audit: </w:t>
    </w:r>
    <w:bookmarkStart w:id="59" w:name="AuditStartDate1"/>
    <w:r>
      <w:rPr>
        <w:rFonts w:cs="Arial"/>
        <w:sz w:val="16"/>
        <w:szCs w:val="20"/>
      </w:rPr>
      <w:t>14 January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