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Willows Home and Hospital Limited - The Willows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Willows Home and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Willows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January 2020</w:t>
      </w:r>
      <w:bookmarkEnd w:id="7"/>
      <w:r w:rsidRPr="009418D4">
        <w:rPr>
          <w:rFonts w:cs="Arial"/>
        </w:rPr>
        <w:tab/>
        <w:t xml:space="preserve">End date: </w:t>
      </w:r>
      <w:bookmarkStart w:id="8" w:name="AuditEndDate"/>
      <w:r w:rsidR="00A4268A">
        <w:rPr>
          <w:rFonts w:cs="Arial"/>
        </w:rPr>
        <w:t>15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Willows Home and Hospital provides rest home and hospital level care for up to 28 residents.  The service is operated privately, and the owner/director is the manager.  She is supported by an administrator/maintenance manager and a nurse manager who is a registered nurse.  Residents and families spoke positively about the care provided.</w:t>
      </w:r>
    </w:p>
    <w:p w:rsidRPr="00A4268A">
      <w:pPr>
        <w:spacing w:before="240" w:line="276" w:lineRule="auto"/>
        <w:rPr>
          <w:rFonts w:eastAsia="Calibri"/>
        </w:rPr>
      </w:pPr>
      <w:r w:rsidRPr="00A4268A">
        <w:rPr>
          <w:rFonts w:eastAsia="Calibri"/>
        </w:rPr>
        <w:t>The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w:t>
      </w:r>
    </w:p>
    <w:p w:rsidRPr="00A4268A">
      <w:pPr>
        <w:spacing w:before="240" w:line="276" w:lineRule="auto"/>
        <w:rPr>
          <w:rFonts w:eastAsia="Calibri"/>
        </w:rPr>
      </w:pPr>
      <w:r w:rsidRPr="00A4268A">
        <w:rPr>
          <w:rFonts w:eastAsia="Calibri"/>
        </w:rPr>
        <w:t xml:space="preserve">The audit identified one area requiring improvement related to the safe storage of chemicals.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families/whanau are provided with information about the Health and Disability Commissioner’s Code of Health and Disability Services Consumers’ Rights (the Code) and these are respected. Services are provided that support personal privacy, independence, individuality and dignity. Staff interacted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to give informed consent.</w:t>
      </w:r>
    </w:p>
    <w:p w:rsidRPr="00A4268A">
      <w:pPr>
        <w:spacing w:before="240" w:line="276" w:lineRule="auto"/>
        <w:rPr>
          <w:rFonts w:eastAsia="Calibri"/>
        </w:rPr>
      </w:pPr>
      <w:r w:rsidRPr="00A4268A">
        <w:rPr>
          <w:rFonts w:eastAsia="Calibri"/>
        </w:rPr>
        <w:t>Residents who identify as Maori have their needs met in a manner that respects their culture, values and beliefs. There was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healthcare providers to support best practice and meet the needs of residents.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The owner/director works full time at the facility and monitors the services provided.  The owner/director has owned and operated the business for the past 20 years.  She is supported by a nurse manager who holds a current nursing annual practising certificate and who has also worked at the facility for 20 years and has held her current role for 16 years.</w:t>
      </w:r>
    </w:p>
    <w:p w:rsidRPr="00A4268A">
      <w:pPr>
        <w:spacing w:before="240" w:line="276" w:lineRule="auto"/>
        <w:rPr>
          <w:rFonts w:eastAsia="Calibri"/>
        </w:rPr>
      </w:pPr>
      <w:r w:rsidRPr="00A4268A">
        <w:rPr>
          <w:rFonts w:eastAsia="Calibri"/>
        </w:rPr>
        <w:t>The quality and risk management system includes collection and analysis of quality improvement data and identifies trends.  Staff are kept informed of findings.  Staff are involved in making improvements,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w:t>
      </w:r>
    </w:p>
    <w:p w:rsidRPr="00A4268A">
      <w:pPr>
        <w:spacing w:before="240" w:line="276" w:lineRule="auto"/>
        <w:rPr>
          <w:rFonts w:eastAsia="Calibri"/>
        </w:rPr>
      </w:pPr>
      <w:r w:rsidRPr="00A4268A">
        <w:rPr>
          <w:rFonts w:eastAsia="Calibri"/>
        </w:rPr>
        <w:t>The appointment, orientation and management of staff is undertaken by the management team.  A systematic approach to identify and deliver ongoing training supports service delivery.  An in-service education programme is provided, and staff are encouraged to complete a New Zealand Qualification Authority education programme.  Staffing levels and skill mix meet the changing needs of residents.  The nurse manager and owner/director, dependent on the situation, is on call after hours.</w:t>
      </w:r>
    </w:p>
    <w:p w:rsidRPr="00A4268A">
      <w:pPr>
        <w:spacing w:before="240" w:line="276" w:lineRule="auto"/>
        <w:rPr>
          <w:rFonts w:eastAsia="Calibri"/>
        </w:rPr>
      </w:pPr>
      <w:r w:rsidRPr="00A4268A">
        <w:rPr>
          <w:rFonts w:eastAsia="Calibri"/>
        </w:rPr>
        <w:t>Residents’ information is accurately recorded, securely stored and is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potential residents/family/whanau.</w:t>
      </w:r>
    </w:p>
    <w:p w:rsidRPr="00A4268A" w:rsidP="00621629">
      <w:pPr>
        <w:spacing w:before="240" w:line="276" w:lineRule="auto"/>
        <w:rPr>
          <w:rFonts w:eastAsia="Calibri"/>
        </w:rPr>
      </w:pPr>
      <w:r w:rsidRPr="00A4268A">
        <w:rPr>
          <w:rFonts w:eastAsia="Calibri"/>
        </w:rPr>
        <w:t>The multidisciplinary team, including the general practitioner and a registered nurse, assess residents’ needs on admission. Care plans are individualised based on a comprehensive range of information and accommodate any new problems that may arise. Records reviewed demonstrated that the care provided and needs of residents are reviewed and evaluated on a regular and timely basis. Residents are referred or transferred to other health services as needed.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 and family.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A preventative and reactive maintenance programme includes equipment and electrical checks.</w:t>
      </w:r>
    </w:p>
    <w:p w:rsidRPr="00A4268A">
      <w:pPr>
        <w:spacing w:before="240" w:line="276" w:lineRule="auto"/>
        <w:rPr>
          <w:rFonts w:eastAsia="Calibri"/>
        </w:rPr>
      </w:pPr>
      <w:r w:rsidRPr="00A4268A">
        <w:rPr>
          <w:rFonts w:eastAsia="Calibri"/>
        </w:rPr>
        <w:t>Residents’ rooms have adequate personal space provided.  Lounges, dining areas and alcoves are available.  External areas for sitting and shade are provided.  An appropriate call bell system is available, and security and emergency systems are in place.</w:t>
      </w:r>
    </w:p>
    <w:p w:rsidRPr="00A4268A">
      <w:pPr>
        <w:spacing w:before="240" w:line="276" w:lineRule="auto"/>
        <w:rPr>
          <w:rFonts w:eastAsia="Calibri"/>
        </w:rPr>
      </w:pPr>
      <w:r w:rsidRPr="00A4268A">
        <w:rPr>
          <w:rFonts w:eastAsia="Calibri"/>
        </w:rPr>
        <w:t xml:space="preserve">Protective equipment and clothing are provided and used by staff.  The facility has a policy to support the safe storage of chemicals and equipment and the safe disposal of soiled linen.  All laundry is washed on site.  Cleaning and laundry systems are audited for effectiveness.  </w:t>
      </w:r>
    </w:p>
    <w:p w:rsidRPr="00A4268A">
      <w:pPr>
        <w:spacing w:before="240" w:line="276" w:lineRule="auto"/>
        <w:rPr>
          <w:rFonts w:eastAsia="Calibri"/>
        </w:rPr>
      </w:pPr>
      <w:r w:rsidRPr="00A4268A">
        <w:rPr>
          <w:rFonts w:eastAsia="Calibri"/>
        </w:rPr>
        <w:t xml:space="preserve">Security is maintained. Fire evacuation procedures are regularly practised.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facility has clear policies and procedures that meet the requirements of the restraint minimisation and safe practice standard.  There were no residents using a restraint or an enabler at the time of audit.  Staff interviewed demonstrated a sound knowledge and understanding about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led by an experienced registered nurse and is overseen currently by the nurse manager. The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Staff interviewed demonstrated good principles and practice around infection prevention and control which is guided by relevant policies and procedures and supported by regular education.</w:t>
      </w:r>
    </w:p>
    <w:p w:rsidRPr="00A4268A">
      <w:pPr>
        <w:spacing w:before="240" w:line="276" w:lineRule="auto"/>
        <w:rPr>
          <w:rFonts w:eastAsia="Calibri"/>
        </w:rPr>
      </w:pPr>
      <w:r w:rsidRPr="00A4268A">
        <w:rPr>
          <w:rFonts w:eastAsia="Calibri"/>
        </w:rPr>
        <w:t>Aged specific infection surveillance is undertaken, and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31"/>
        <w:gridCol w:w="1280"/>
        <w:gridCol w:w="92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in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healthcare assistants interviewed understood the principles of informed consent. Informed consent policies provide relevant guidance to staff. Clinical records showed that informed consent has been gained appropriately using the organisation’s standard consent form. Advance care planning, establishing and documenting enduring power of attorney requirements and processes for residents unable to consent is defined and documented, as relevant, in the resident’s record. Healthcare assistants were observed to gain consent for day to day care. Additional individual consent is gained for the annual influenza immunisation or for any individualised procedures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Advocacy information is provided on admission in the admission information pack given to residents/family. Posters and brochures related to the National Advocacy Service were displayed and available in the facility. Family members and two community support visitors interviewed were fully aware of the advocacy service and how to access this and residents were informed of their individual right to have support persons of their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own potential and independence and to maintain links with their family/whanau and the community. Activities are arranged and organised in the community (eg, home visits, shopping trips and entertainment).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members and friends. Family members interviewed stated they felt welcome when they visited and comfortable in their dealings with management and staff. There are internal and external areas throughout the facility, including two lounges, outside decks and a shaded area outside with seating where residents and visitors can sit, other than meeting in the resident’s bedroom when visiting.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one complaint had been received over the past year and that actions taken, through to an agreed resolution, were documented and completed within the required timeframes.  Action plans showed any required follow up and improvements have been made where possible.  The owner/director is responsible for complaints management and follow up. All staff interviewed confirmed a sound understanding of the complaint process and what actions are required. There have been no complaints received from external sources since the previous audit. A hard copy complaints register is being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as part of the admission process information provided and discussions with staff. The Code was displayed in the main entrance of the facility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The owner is the privacy officer for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attending community activities and participation in clubs of their choosing. Care plans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Maori to integrate their cultural values and beliefs. The principles of the Treaty of Waitangi are incorporated into the day to day practice, as is the importance of whanau. The nurse manager confirmed that there are currently five residents who identify as Maori and two staff members. There are no barriers in supporting residents who are admitted to the facility who identify as Maori. There is no specific Maori Health Plan however policies and procedures are available to guide staff. The policies documented supports, values and beliefs acknowledged within the Te Whare Tapa Wha model with input from cultural advisers within the community as required to support and develop a Maori health care plan for the resident. Guidance on tikanga best practice is available and is supported by staff who identify as Maori in the facility. Families of residents interviewed spoke highly of how the needs for Maori residents are effectively met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induction/orientation process for all staff included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evidenced-based policies with input from external quality specialist consultants and allied health professionals, for example, the hospice care nurse,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reported they receive management support for external education, however most education is now available on-line. The registered nurses can attend education sessions held at the DHB or their own professional networks to support their individual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observation of conversations between residents, residents and staff, families and staff and the knocking on doors before entering. The activities coordinator was ‘chair-dancing’ with those with disabilities and they were enjoying this part of the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they were kept well informed about any changes to their/their relative’s health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Family and staff members are available to interpret as needed for the residents of various Pacifica nationalities and the residents that identify as Maori. The staff know the residents well and communication cards can be utilised if required. Residents with any sensory impairments had this documented on their individual long-term care plans reviewed. Appropriate resources and equipment were sighted. </w:t>
            </w:r>
          </w:p>
          <w:p w:rsidR="00EB7645" w:rsidRPr="00BE00C7" w:rsidP="00BE00C7">
            <w:pPr>
              <w:pStyle w:val="OutcomeDescription"/>
              <w:spacing w:before="120" w:after="120"/>
              <w:rPr>
                <w:rFonts w:cs="Arial"/>
                <w:b w:val="0"/>
                <w:lang w:eastAsia="en-NZ"/>
              </w:rPr>
            </w:pPr>
            <w:r w:rsidRPr="00BE00C7">
              <w:rPr>
                <w:rFonts w:cs="Arial"/>
                <w:b w:val="0"/>
                <w:lang w:eastAsia="en-NZ"/>
              </w:rPr>
              <w:t>Each week the updated activities calendar is placed in the hallway near the main lounge/dining area to remind residents of what is being provided for them each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longer-term objectives and the associated operational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owner/director who holds relevant qualifications and has been in the role for 20 years. Responsibilities and accountabilities are defined in a job description and individual employment agreement.  The owner/director confirmed knowledge of the sector, regulatory and reporting requirements and maintains currency through external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the Aged Care Residential (ARRC) and Long-Term Chronic Health conditions contracts with the Auckland District Health Board, Residential – A non-aged contract with the Ministry of Health (MOH) and individual contracts with ACC.  On the day of audit there were 14 Hospital level care and four rest home level care residents receiving services under the ARRC contract. Two rest home and five hospital level care residents were supported with a Long-Term chronic health conditions contract and two residents were receiving services under an individual ACC contract.     There is currently one resident attending daily requiring hospital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owner/director is absent, the nurse manager carries out all the required duties under delegated authority. During absences of key clinical staff, the clinical management is overseen by the nurse manager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monitoring of outcomes, clinical incidents including infections and satisfaction surveys.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team and staff meetings. Staff reported their involvement in quality and risk management activities through discussions in staff meetings and audit findings.  Resident and family satisfaction surveys are completed annually.  The most recent survey in September 2019, did not show follow-up and/or interventions or outcomes for an individual resident who identified four areas of concerns.  These areas of concern were discussed with the resident and family and resolved at the time. A further review of this system confirmed that this is not a consistent pattern and that relevant corrective actions plans are developed and implemented where shortfalls are identified.  Overall residents and families were very happy with the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were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described the processes for the identification, monitoring, review and reporting of risks and development of mitigation strategies. The manager was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at alternative monthly staff meetings.  The owner/director interviewed confirmed that she is notified of high-risk concerns.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was able to describe essential notification reporting requirements, including for pressure injuries.  There have been two notifications made to the MOH as required under section 31.  One notification in July 2019 was in relation to a resident been admitted to the home with one grade one, one grade two, one grade four-five and one grade four pressure injuries.  The second notification related to the unavailability of a registered nurse for 180 hours (30 shifts over the last couple of months) in August 2019 (see 1.2.8).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investigations by the Office of the Health and Disability Commissioner.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supporting health professionals had up to date APCs.  All staff have been vetted by the NZ Police.  Referee checks have been undertaken. Five of five staff folders reviewed showed evidence of annual performance appraisals.  Confirmation of the cook having achieved safe food handling training in 2017 and 2019 was sighted.   Job descriptions for the infection control coordinator and restraint coordinator were allocated to appropriate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annual basis including mandatory training requirements.  Attendance records confirmed that all care staff are participating in regular training provided.  The owner/director is attending ongoing training relevant for managers of aged care facilities.  Of seven care staff, two are trained RNs working as caregivers, two caregivers have completed the National Certificate in Health and Wellbeing (level 2) and two care staff have achieved level four.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only registered nurse trained and maintaining annual competency requirements to undertake interRAI assessments is the nurse manager.  Two RN’s employed in November 2019 and February 2019 are booked for interRAI training in January and February of 2020.  The owner/director is awaiting confirmation of job acceptance offers for two RNs recently interviewed.   An RN who commenced employment and resigned from the home in 2019 was not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documented and implemented process for determining staffing levels and skill mixes to provide safe service delivery, 24 hours a day, seven days a week (24/7). There is at least one RN on site 24/7. An afterhours on call roster is in place, with staff reporting that good access to advice is available when needed.   A review of a four-week roster cycle confirmed adequate staff cover has been provided, with staff replaced in any unplanned absence. A section 31 notice was sent to the MOH in August 2019 notifying a lack of RN availability; in these situations. The nurse manager took on the role of RN or the RN was replaced by a bureau RN (refer to 1.2.4). At least one staff member on duty has a current first aid certificate.  Staff interviewed said there were enough staff available to meet residents’ needs and this was confirmed by observations on the days of audit.  Residents and family members interviewed stated that they had no concerns with care or availability of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residents’ register was reviewed and contained all requirements for maintaining the health information records required for residential aged care and to meet legislative requirements. All necessary demographic, personal, clinical and health information was also fully completed in the residents’ records sampled for review. Clinical notes were current and integrated with GP and allied health provider records. This also included the interRAI assessment information entered into the Momentum electronic database. Hard copy records were legible with the date,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were held securely on site and readily retrievable.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are held for the required period before being destroyed. No personal or private resident information was on public display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and/or GP for residents accessing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Records reviewed contained completed demographic details, assessment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the acute care services. There is open communication between all services, the resident and the family/whanau or representative. At the time of transition between services appropriate information is provided for the ongoing management of the resident. All referrals are documented in the progress records. An example reviewed of a resident recently transferred to the local acute facility showed communication between the facility, hospital and ambulance staff was appropriately managed.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policy was current and identified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the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fortnightly in a pre-packaged format from a contracted pharmacy. The registered nurse on duty checks the medications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one medicine fridge were within the recommended range and are monitored daily. The facility offers influenza vaccination. All vaccines are provided by an external source and no vaccines are stored on site. Informed consent is provided prior to administration.</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observed on the electronic records reviewed. The responsibilities for pro re nata (PRN) medicines are met. The three-monthly GP review was consistently recorded electronically on each individual resident’s records. The facility does not use standing orders.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the audit. Appropriate and safe processes are in place should this be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overseen by the owner and two cooks and is in line with recognised nutritional guidelines for older people. The menu follows summer and winter patterns and has been reviewed by a qualified dietitian within the last two years.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is registered with an approved food safety service provider (Auckland City Council) and has until 20 June 2020 to be audited. The service is prepared and has a folder with all requirements in readiness for the verification audit in conjunction with Care Association New Zealand. Food temperatures, including high risk items are monitored appropriately and recorded as part of the requirements. The owner and two cooks have completed relevant food handling courses.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is developed. The personal food preferences, any special diets and modified texture requirements are made known to the kitchen staff and accommodated in the daily meal plan. Special equipment to meet resident’s nutritional needs is available.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satisfaction surveys.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fully supported to find an appropriate care alternative. If the needs of a resident change and they are no longer suitable for the services offered, a referral for reassessment to the DHB NASC is made and a new placement is found, in consultation with the resident and whanau/family.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nursing assessment tools, such as a pain scale, falls risk, skin integrity, nutritional needs and continence screening, as a means to identify any deficits and to inform care planning. The sample of care plans reviewed had an integrated range of resident-related information. Long term care plans were sighted. All residents have current interRAI assessments completed by one of the three registered nurses. The nurse manager is a trained interRAI assessor. The nurse manager interviewed stated that currently one registered nurse is enrolled to complete the training and a second registered nurse will do the required training when the first registered nurse is a trained assessor. Residents and families confirmed their involvement in the assessment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input is sought in a timely manner, that medical orders were followed and care provided is excellent.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who supports residents Monday to Friday, five hours a day. The activities co-ordinator was previously a health care assistant but always had a special interest in activities. The activities co-ordinator has been in this current role for eighteen months.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monthly and as part of the six-monthly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displayed weekly and reflected residents’ goals, ordinary patterns of life and included normal community activities, individual, group activities and regular events. Residents and families/whanau are involved in evaluating and improving the programme through the satisfaction surveys annually. Residents interviewed confirmed they find the programme varied, interactive and interesting and this was observed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on each shift and was reported in the progress records reviewed. If any change occurs, it is recorded and reported to the registered nurse or the nurse manager.</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 monthly interRAI reassessment, or as the residents’ need change. Where progress is different from expected, the service responds by initiating changes to the plan of care. Examples of short-term care plans being consistently reviewed and progress evaluated as clinically indicated were noted for infections, falls and wounds. When necessary and for unresolved problems, long term care plans are added to and updated. Residents and families/whanau interviewed provided examples of involvement in evaluation on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resident GP residents may choose to use another medical practitioner. If the need for other non-urgent services are indicated or requested the GP or registered nurse sends a referral to seek specialist input. Copies of referrals were sighted in residents’ records, including to mental health services for older people, a wound care specialist and diabetes clinic at the DHB and radiology. The resident and the family/whanau are kept informed of the referral process, as verified by documentation and interviews. Any acute/urgent referrals are attended to immediately, such as sending the resident to accident and emergency in an ambulance if the circumstances dictate. Escorts are provided as needed due to the nature of the service and the fact that many residents do not have any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 home is currently transferring to another external company which is contracted to supply and manage all chemicals and cleaning products.  Compulsory and updated training for staff is booked for 30 January 2020.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was publicly displayed in the main foyer and expires 11 February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This is next due July 2020.  The environment was hazard free, residents were safe, and independence was promoted. There was sufficient shade and seating on the front veranda and side garden.  The outside environment was safely maintained, and areas are appropriate for the resident groups and setting.  Paths and walkways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is required, any requests are appropriately actioned and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All but one bedroom have a wash hand basin. Residents and families reported that there are sufficient toilets and they are easy to access.  Appropriately secured and approved handrails are provided in the toilet/shower areas, and other equipment/accessories are available to promote residents’ independence.  Hot water is delivered at a safe temperature and is tested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furnishings, photos and other personal items displayed.  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internal and external areas are available for residents to engage in activities.  The combined dining and lounge area is spacious and enables easy access for residents and staff.  Residents can access areas for privacy.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by care staff who take on a dual role of caregiving, cleaning and laundry services.  Family can take home their relative’s clothing if requested.  Care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Chemicals are stored in a locked cupboard in the laundry and were in appropriately labelled containers.  At the time of audit, two of three sluice rooms had unsecured chemicals.   Cleaning and laundry processes are monitored through the internal audit programme and staff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in December 2008.  A trial evacuation takes place six-monthly with a copy sent to the New Zealand Fire Service, the most recent being on 29 May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a maximum 28 residents and the Ministry of Civil Defence and Emergency Management recommendations for the region. The emergency lighting system is regularly tested.  Staff interviewed confirmed their awareness of the emergency procedure</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was functioning on the day of the audit and residents and families reported staff respond promptly to call bells. Appropriate security arrangements are in place. Doors and windows are locked at a predetermined time. There have been no security incidents.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with opening external windows. The majority of residents’ bedrooms have sliding doors that open out to the outside garden or internal courtyard. Heating is provided by individual electric heaters in residents’ rooms which is currently been phased out and will be replaced with gas heating which is currently provided throughout the home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 the risk of infection to residents, staff and visitors. The programme is guided by a comprehensive and current infection control manual, with input from the GP and pharmacist.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has been the infection control co-ordinator (ICC) until recently before handing over the role to one of the registered nurses two months ago. The role and responsibilities were clearly defined in the job description reviewed. Infection control matters, including surveillance results are reported monthly at the staff/quality meetings. The infection control committee includes the nurse manger and two 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and has been in this role for two months. The registered nurse is experienced and will be completing the required training at the DHB when next available. Additional support and information is accessed through the infection control team at the DHB, the community laboratory, the GP and public health unit as required. The ICC has access to residents’ records and diagnostic results to ensure timely treatment and resolutions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an infection. There have been no infection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Policies were last reviewed in 2019 and included appropriate referencing.</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 washing techniques and use of aprons and gloves.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suitably qualified registered nurses. Content of the training was documented and evaluated to ensure it is relevant, current and understood. A record of attendance was maintained. Education with residents was generally on a one-to-one basis and has included reminders about handwashing, advice about remaining in their own room if unwell and increasing fluids during the summer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for the size and nature of the service and included urinary infections, respiratory tract infections, skin, wound, eye, gastro-enteritis and other infections. The ICC nurse reviews all reported infections and these were documented. Any new infections and any required management plans are discussed at handover, to ensure early intervention occurs. Short term care plans are developed and implemented.</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monthly surveillance programme were shared with staff via staff meetings and staff handovers between shifts.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minimal infections in recent months. The residents’ records reviewed highlighted short term and long-term care planning to reduce and minimise the risk of infection. A monthly summary report from the community laboratory documents any infections and any antibiotics required. These reports are kept in the infection prevention and control workbook along with the infection report forms completed by the registered nurses, 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coordinator/nurse manager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When enablers are used, these are the least restrictive and used voluntarily at a resident’s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updated every month and reviewed at each restraint approval group meeting which occurs monthly. The register was reviewed and sufficient information to provide an auditable record.  The register showed that restraint has not been required in the last 12 months.</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Evidence of discussions about the possible need of restraint was evident in residents progress notes and staff minute meetings however other interventions currently in place are proving effective and currently replacing the need of restraints (eg, sensor mats, low low beds and intentional rounding).  The restraint coordinator described how alternatives to restraints are discussed with staff and family members.</w:t>
            </w:r>
          </w:p>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nurse manager, owner/director and GP, are responsible for the approval of the use of restraints and the restraint processes. It was evident from review of restraint approval group meeting minutes and staff meetings that that the need for restraints has been discussed and the need analysed.  Evidence of discussions about the possible need of restraint was evident in residents progress notes and staff minute meetings however other interventions currently in place are proving effective and currently replacing the need of restraints (eg, sensor mats, low low beds and intentional rounding).  The restraint coordinator described how alternatives to restraints are discussed with staff and family members.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co-ordinator/nurse manager interviewed stated that if a resident requires the support of a restraint, frequent monitoring occurs to ensure the resident remains safe.  The restraint co-ordinator was able to show the documentation required when a restraint is in place.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understand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87"/>
        <w:gridCol w:w="1280"/>
        <w:gridCol w:w="8234"/>
        <w:gridCol w:w="1134"/>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explain the safety requirements around the use and storage of chemicals.  A cleaning audit in February 2019 highlighted no concerns.  There are three sluice rooms that are easily accessible via the main corridor in the facility.  Chemicals when not in use are in a locked cupboard in the laundry.     While touring the home chemically labelled bottles were found in two of the three sluice rooms that were unlocked.  At the end of day one and again on day two of the audit it was observed that the chemicals had been removed from the sluices and returned to the locked cupboard in the laundry.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two of three sluice rooms there were chemicals that were not stored securely.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chemicals not in use are stored securely.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Willows Home and Hospital Limited - The Willows Home and Hospital</w:t>
    </w:r>
    <w:bookmarkEnd w:id="58"/>
    <w:r>
      <w:rPr>
        <w:rFonts w:cs="Arial"/>
        <w:sz w:val="16"/>
        <w:szCs w:val="20"/>
      </w:rPr>
      <w:tab/>
      <w:t xml:space="preserve">Date of Audit: </w:t>
    </w:r>
    <w:bookmarkStart w:id="59" w:name="AuditStartDate1"/>
    <w:r>
      <w:rPr>
        <w:rFonts w:cs="Arial"/>
        <w:sz w:val="16"/>
        <w:szCs w:val="20"/>
      </w:rPr>
      <w:t>14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