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Edith Cavell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Edith Cavell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January 2020</w:t>
      </w:r>
      <w:bookmarkEnd w:id="7"/>
      <w:r w:rsidRPr="009418D4">
        <w:rPr>
          <w:rFonts w:cs="Arial"/>
        </w:rPr>
        <w:tab/>
        <w:t xml:space="preserve">End date: </w:t>
      </w:r>
      <w:bookmarkStart w:id="8" w:name="AuditEndDate"/>
      <w:r w:rsidR="00A4268A">
        <w:rPr>
          <w:rFonts w:cs="Arial"/>
        </w:rPr>
        <w:t>16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Edith Cavell Lifecare provides rest home and hospital level care for up to 59 residents. The service is operated by Heritage Lifecare Limited and managed by a care home and village manager and a clinical services manager. The service has reduced the bed numbers by one since the previous audit.</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w:t>
      </w:r>
    </w:p>
    <w:p w:rsidRPr="00A4268A">
      <w:pPr>
        <w:spacing w:before="240" w:line="276" w:lineRule="auto"/>
        <w:rPr>
          <w:rFonts w:eastAsia="Calibri"/>
        </w:rPr>
      </w:pPr>
      <w:r w:rsidRPr="00A4268A">
        <w:rPr>
          <w:rFonts w:eastAsia="Calibri"/>
        </w:rPr>
        <w:t>There were no areas requiring improvement identified during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Edith Cavell Lifecare.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 included regular individual performance review.  Staffing levels and skill mix meet the changing needs of residents.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Edith Cavell Lifecare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activity co-ordinators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at times senior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was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for one resident were in use at the time of audit. There were no restraints in use at the time of the audit and none have been used since the previous audit. An assessment,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organisation’s clinical advisors or the Canterbury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14"/>
        <w:gridCol w:w="1280"/>
        <w:gridCol w:w="88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Edith Cavell Lifecare (Edith Cavell)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files.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available in the entrance foyer.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were documented and completed within the required timeframes.  Action plans showed any required follow up and improvements have been made where possible. The most recent complaint is in process. The care home and village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reported being made aware of the Code and the Nationwide Health and Disability Advocacy Service (Advocacy Service) as part of the admission information provided and discussion with staff. The Code was displayed in common areas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Edith Cavell and their family members confirmed that services are provided in a manner that has regard for resident’s dignity, privacy, sexuality, spirituality and choices. Interviewees described the staff as “fantastic”, “caring” and “respectful”.</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exchanging verbal information and during discussions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in Edith Cavell at the time of audit who identified as Māori. Interviews verified staff support residents who identify as Māori to integrate their cultural values and beliefs. The principles of the Treaty of Waitangi are incorporated into day to day practice, as is the importance of whānau to Māori residents. There was a current Māori health plan developed with input from cultural advisers. The local iwi assists in meeting the needs of Māori residents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Edith Cavell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included evaluation of how well residents’ cultural needs are met, and this supported that individual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that residents were free from any type of discrimination, harassment or exploitation and felt safe. A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Edith Cavell encourages and promotes good practice through evidence-based policies, input from external specialist services and allied health professionals, for example, the hospice/palliative care team and the gerontology nurse specialist.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to improve their knowledge base and skills. Regular in-service training and toolbox sessions are provided on site. All care staff are either trained or in training to ensure they are qualified to provide residents with quality care. The RNs all have access to ongoing in-house training and access to online learning hubs. Care staff and RNs have qualifications in providing the fundamentals of palliative care.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a reduction in the number of falls, infections, incidents and medication errors. Interviews with residents and residents’ family members verified a high level of satisfaction with the care provided at Edith Cavell. Residents needs were observed to be responded to promptly and staff expressed a high level of satisfaction with the level of service they were enabled to provide to residents. Staff turnover is low, and staff are enabled to work set shifts to fit in with their lifestyle.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Canterbury District Health Board (CDHB)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site specific to Edith Cavell Lifecare, is reviewed annually and outlines the purpose, values, scope, direction and goals of the organisation, including goals specific to a person-centred approach to all services. The documents described annual and long-term objectives and associated operational plans. A sample of monthly reports to the support office showed adequate information to monitor performance is reported including financial performance, enquiries, occupancy, human resources, health and safety, compliance, risks and issues and property and ‘CAPEX’.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Edith Cavell Lifecare is managed by a care home and village manager who holds relevant qualifications and had been in the role for less than a week, at the time of audit, but has vast aged care experience and has worked previously at Edith Cavell. Responsibilities and accountabilities are defined in a job description and individual employment agreement. The manager confirmed knowledge of the sector, regulatory and reporting requirements and maintains currency through attendance at conferences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Canterbury District Health Board (CDHB) for complex medical conditions, hospital and rest home level care, palliative care, long term chronic conditions and respite care. A Ministry of Health (MOH) contract for young person with a disability (YPD) is also held. Fifty-two residents were receiving services under the contract (28 hospital level and 24 rest home level care including one respite resident) at the time of audit. There was one resident under the YPD contract. There were no palliative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care home and village manager is absent, the clinical services manager (CSM) or a Heritage Lifecare Ltd (HLL) care home and village temporary manager carries out all the required duties under delegated authority. This happened recently when there was a vacancy due to the resignation of the previous manager and appointment of the current care home and village manager. During absences of key clinical staff, the clinical management is overseen by a senior RN from the facility or HLL who is experienced in the sector and able to take responsibility for any clinical issues that may arise. Staff reported the current arrangements work well. All managers and staff incorporate a person-centred approach to all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Edith Cavell Lifecare has a planned quality and risk system that reflects the principles of continuous quality improvement. This includes management of incidents and complaints, audit activities, an annual resident satisfaction survey, monitoring of outcomes, clinical incidents including infections and restraint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quality, health and safety and staff meetings. Staff reported their involvement in quality and risk management activities through audit activities, attendance at meetings and individual feedback. Relevant corrective actions are developed and implemented to address any shortfalls. Resident and family satisfaction surveys are completed annually. The most recent survey showed that the cleaning was not always completed to a satisfactory standard; this initiated training for cleaning staff and resident meeting minutes and feedback confirmed the issue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and village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the support office via the organisation’s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The care home and village manager described essential notification reporting requirements, including for pressure injuries. They advised there have been four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An external contractor is the assessor for the programme. All staff have either commenced or completed Level 2 and Level 3. Fourteen care staff have completed Level 4 with those on Level 3 commencing the Level 4 training.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 cycle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were readily retrievable using a cataloguing system. Residents’ files are held for the required period before being destroyed. </w:t>
            </w:r>
          </w:p>
          <w:p w:rsidR="00EB7645" w:rsidRPr="00BE00C7" w:rsidP="00BE00C7">
            <w:pPr>
              <w:pStyle w:val="OutcomeDescription"/>
              <w:spacing w:before="120" w:after="120"/>
              <w:rPr>
                <w:rFonts w:cs="Arial"/>
                <w:b w:val="0"/>
                <w:lang w:eastAsia="en-NZ"/>
              </w:rPr>
            </w:pPr>
            <w:r w:rsidRPr="00BE00C7">
              <w:rPr>
                <w:rFonts w:cs="Arial"/>
                <w:b w:val="0"/>
                <w:lang w:eastAsia="en-NZ"/>
              </w:rPr>
              <w:t>January 2018 saw the introduction of electronic paperless records at Edith Cavell. All electronic records are stored in a secure portal.</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Edith Cavell when they have been assessed and confirmed by the local Needs Assessment and Service Coordination (NASC) Service as requiring the level of care Edith Cavell provides. Prospective residents and/or their families are encouraged to visit the facility prior to admission and meet with the care home manager (CHM)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an electronically generated transfer form from the residents’ electronic file, to facilitate transfer of residents to and from acute care services. There is open communication between all services, the resident and the family. At the time of transition between services, appropriate information, including medication records and the advance directive is provided for the ongoing management of the resident. All referrals are recorded in the progress notes. An example reviewed of a patient recently transferred to the local acute care facility to attend an outpatient’s appointment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electronic authorisation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self-administered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CSM and CHM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Edith Cavell.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in October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registered with the Christchurch City Council. A verification audit of the food control plan was carried out in August 2018, with one corrective action request subsequently addressed. The audit findings enabled the plan to be registered for 18 months. A follow-up audit is due February 2020</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was enough staff on duty in the dining rooms at mealtimes to ensure appropriate assistance was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whanau/family. Examples of this occurring were discussed with the CSM. There is a clause in the resident admission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Edith Cavell are assessed using a range nursing assessment tools, such as a pain scale, falls risk, skin integrity and nutritional screening,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In all files reviewed initial assessments are completed as per the policy and within 24 hours of admission. Except for the respite resident, interRAI assessments are completed within three weeks of admission and at least every six months unless the resident’s condition changes. Interviews, documentation and observation verifies the RNs are familiar with requirement for reassessment of a resident using the interRAI assessment tool when a resident has increasing or changing need levels. The respite resident has a care plan in place based on the collection of clinical assessment data.</w:t>
              <w:br/>
              <w:br/>
              <w:t>All long-term residents have current interRAI assessments completed by one of seven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documented, informative and relevant. Any change in care required was documented and verbally passed on to relevant staff. Residents and families reported participation in the development and ongoing evaluation of care plans and care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two recreation co-ordinators who are undertaking training to be diversional therapists. The activities programme is provided five days per week, with a plan in place for care staff to provide activities over the weekends.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 normal community activities. Individual, group activities and regular events are offered. Examples included twice weekly community outings, visiting entertainers, quiz sessions, pet therapy, sensory art workshops, knitting groups, walks, bowls and daily news updates. 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Younger residents are enabled to be actively involved in the local community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at Edith Cavell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were sighted of short-term care plans being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referrals to the gerontology nurse specialist.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December 2020)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safely maintained and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confirmed they knew the processes they should follow if any repairs or maintenance are required, any requests are appropriately actioned and that they were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rooms with ensuites.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currently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was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are several other quiet sitting areas around the facility.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spacious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01 July 1994. A trial evacuation takes place six-monthly with a copy sent to the New Zealand Fire Service, the most recent being on 13 November 2019. The orientation programme included fire and security training. Staff confirmed their awareness of the emergency procedures. The emergency plan considers the special needs of people with dementia in an emergency.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full occupancy of residents and meets the Ministry of Civil Defence and Emergency Management for the region. Water storage tanks are located around the complex, and there is a generator available for hire if required. Emergency lighting is regularly tested. </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were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with views to the gardens outside. Heating is provided by underfloor heating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Edith Cavell provides a managed environment that minimises the risk of infection to residents, staff and visitors by the implementation of an appropriate infection prevention and control (IPC) programme. Infection control management is guided by a comprehensive and current infection control programme, including policies and procedures, developed at organisational level.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with input from the CSM is the designated infection control nurse whose role and responsibilities are defined in a job description. Infection control matters, including surveillance results, are reported monthly to the CSM and tabled at the quality/risk/staff meeting. Infection control statistics are entered in the organisation’s electronic database. The organisation’s regional quality manager at the support office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has appropriate skills, knowledge and qualifications for the role. The ICN has undertaken post graduate training in infection prevention and control and attended relevant study days, as verified in training records sighted. Well-established local networks with the infection control team at the DHB are available and expert advice from the community laboratory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and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ICN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The incidence of infections at Edith Cavell is low. There have been no norovirus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A registered nurse (RN) as restraint coordinator provides support and oversight for enabler and restraint management in the facility and demonstrated a sound understanding of the organisation’s policies, procedures and practice and 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one resident was using two enablers (bedrails at night and a lap belt in her electric chair). There were no restraints in use at the time of audit and there had been no restraints used since the previous audit. A detailed process is followed for the assessment, monitoring and use of enablers, including documenting in the restraint/enabler register.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Edith Cavell Lifecare</w:t>
    </w:r>
    <w:bookmarkEnd w:id="58"/>
    <w:r>
      <w:rPr>
        <w:rFonts w:cs="Arial"/>
        <w:sz w:val="16"/>
        <w:szCs w:val="20"/>
      </w:rPr>
      <w:tab/>
      <w:t xml:space="preserve">Date of Audit: </w:t>
    </w:r>
    <w:bookmarkStart w:id="59" w:name="AuditStartDate1"/>
    <w:r>
      <w:rPr>
        <w:rFonts w:cs="Arial"/>
        <w:sz w:val="16"/>
        <w:szCs w:val="20"/>
      </w:rPr>
      <w:t>15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