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Merrivale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Merrivale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December 2019</w:t>
      </w:r>
      <w:bookmarkEnd w:id="7"/>
      <w:r w:rsidRPr="009418D4">
        <w:rPr>
          <w:rFonts w:cs="Arial"/>
        </w:rPr>
        <w:tab/>
        <w:t xml:space="preserve">End date: </w:t>
      </w:r>
      <w:bookmarkStart w:id="8" w:name="AuditEndDate"/>
      <w:r w:rsidR="00A4268A">
        <w:rPr>
          <w:rFonts w:cs="Arial"/>
        </w:rPr>
        <w:t>6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Merrivale is part of the Bupa group.  The service is certified to provide rest home, hospital and dementia level care for up to 66 residents.  Occupancy on the day of audit was 64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care home manager is an occupational therapist who has been in this role for over three years.  The manager is supported by a clinical manager and unit coordinators and a Bupa regional manager.</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Bupa quality and risk management programme that is individualised to Merrivale.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A comprehensive orientation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There is one area identified for improvement around meeting timeframes.</w:t>
      </w:r>
    </w:p>
    <w:p w:rsidRPr="00A4268A">
      <w:pPr>
        <w:spacing w:before="240" w:line="276" w:lineRule="auto"/>
        <w:rPr>
          <w:rFonts w:eastAsia="Calibri"/>
        </w:rPr>
      </w:pPr>
      <w:r w:rsidRPr="00A4268A">
        <w:rPr>
          <w:rFonts w:eastAsia="Calibri"/>
        </w:rPr>
        <w:t>The service is commended for achieving continual improvement ratings relating to fall minimisation and activities for residents.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fully implemented quality and risk management programme which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A comprehensive education and training programme are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There is a comprehensive admission package available prior to or on entry to the service.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or recording the changes on a short-term care plan.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Planned activities are appropriate to the resident groups.  The programme includes community visitors, outings, entertainment and activities that meet the individual recreational, physical, cultural and cognitive abilities and preferences for each consumer group.  The residents and family interviewed confirmed satisfaction with the activities programme.  </w:t>
      </w:r>
    </w:p>
    <w:p w:rsidRPr="00A4268A" w:rsidP="00621629">
      <w:pPr>
        <w:spacing w:before="240" w:line="276" w:lineRule="auto"/>
        <w:rPr>
          <w:rFonts w:eastAsia="Calibri"/>
        </w:rPr>
      </w:pPr>
      <w:r w:rsidRPr="00A4268A">
        <w:rPr>
          <w:rFonts w:eastAsia="Calibri"/>
        </w:rPr>
        <w:t xml:space="preserve">Staff responsible for medication management have current medication competencies.  Medication policies reflect legislative requirements and guidelines.  The medicine charts reviewed met legislative prescribing requirements.     </w:t>
      </w:r>
    </w:p>
    <w:p w:rsidRPr="00A4268A" w:rsidP="00621629">
      <w:pPr>
        <w:spacing w:before="240" w:line="276" w:lineRule="auto"/>
        <w:rPr>
          <w:rFonts w:eastAsia="Calibri"/>
        </w:rPr>
      </w:pPr>
      <w:r w:rsidRPr="00A4268A">
        <w:rPr>
          <w:rFonts w:eastAsia="Calibri"/>
        </w:rPr>
        <w:t>All meals and baking is done on site.  Food, fluid, and nutritional needs of residents are provided in line with recognised nutritional guidelines and additional requirements/modified needs were being met where required.  The menu is reviewed by the dietitian.  There are nutritious snacks available 24 hours.  Residents commented positively on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securely throughout the facility.  The building holds a current warrant of fitness.  Resident rooms are single, spacious and personalised.  Communal areas within each area are easily accessed with appropriate seating and furniture to accommodate the needs of the residents.  External areas are safe, secure and well maintained.  Fixtures fittings and flooring is appropriate and toilet/shower facilities are constructed for ease of cleaning.  There are documented processes for the management of waste and hazardous substances in place, and incidents are reported in a timely manner.  Cleaning and laundry services are well monitored through the internal auditing system.  Appropriate training, information and equipment for responding to emergencies is provided.  There is an approved evacuation scheme and emergency supplies for at least three days.  The facility temperature is comfortable and constant.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 and no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coordinating/providing education and training for staff.  The Bupa quality and risk team supports the infection control coordinator.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7"/>
        <w:gridCol w:w="1280"/>
        <w:gridCol w:w="92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care home manager, clinical manager/RN, and fourteen staff (four caregivers, three registered nurses (RNs), two activities coordinators, two housekeepers, one cook, a laundry person and one maintenance person) confirmed their familiarity with the Code.  Interviews with five residents (one rest home and four hospital including one younger person) and six relatives (three hospital, one rest home and two with relatives in the secure dementia unit) confirmed that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informed consent policies, procedures and advanced directives in place.  Signed admission agreements and general consent forms were sighted in all resident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of family/EPOA discussion with the GP for medically indicated ‘not for resuscitation’ status where residents were not deemed to be mentally competent.  Registered nurses confirmed verbal consent is obtained when delivering care.  In the files sampled, there was an appropriately signed resuscitation plan and advance directive in place.  Discussions with residents and family/whānau where appropriate, demonstrated they are involved in the decision-making process, and in the planning of resident’s care.  </w:t>
            </w:r>
          </w:p>
          <w:p w:rsidR="00EB7645" w:rsidRPr="00BE00C7" w:rsidP="00BE00C7">
            <w:pPr>
              <w:pStyle w:val="OutcomeDescription"/>
              <w:spacing w:before="120" w:after="120"/>
              <w:rPr>
                <w:rFonts w:cs="Arial"/>
                <w:b w:val="0"/>
                <w:lang w:eastAsia="en-NZ"/>
              </w:rPr>
            </w:pPr>
            <w:r w:rsidRPr="00BE00C7">
              <w:rPr>
                <w:rFonts w:cs="Arial"/>
                <w:b w:val="0"/>
                <w:lang w:eastAsia="en-NZ"/>
              </w:rPr>
              <w:t>Copies of enacted enduring power of attorney (EPOA) were sighted in the resident files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annual training on advocacy.  Information about accessing advocacy services is available in the information presented to residents and their families during entry to the service.  Advocacy support is available if requested.  Interviews with staff, residents and relatives confirmed that they were aware of advocacy services and how to access an advocate.  The complaints process reminds the complainant of their right to contact the health and disability advocacy service with contact details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Care staff interviewed confirmed that residents are encouraged to build and maintain relationships.  Visiting can occur at any time.  Community links were evident with Alzheimer’s Northland and a relationship with a local college that has seen residents enjoy weekly visits during term time from children aged between 10 and 16 as examples (link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and all complaints are logged on the RiskMan.  Eight complaints have been lodged in 2019 (year-to-date).  Verbal and written complaints are documented.  All complaints had a noted investigation, timelines determined by HDC were met, and corrective actions (where indicated) were actioned and resolved.  One complaint was reported to the police following an alleged theft, this complaint has been closed following an inconclusive police investigation, a section 31 was completed and sent.  The service has since installed video cameras 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and were documented in meeting minutes.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care home manager, clinical manager or a registered nurse (RN) discusses the Code with the resident and the family.  An information pack is given to the resident, next of kin or 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Residents and family members interviewed confirmed that staff promote the residents’ independence wherever possible and that residents’ choices are encouraged.  There is an abuse and neglect policy that is implemented, and staff have undertaken annual training on abuse and neglect, and privacy and sexuality.  Last completed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Māori cultural policies to help meet the cultural needs of its Māori residents.  Bupa has developed Māori Tikanga best practice guidelines, which are posted in visible locations.  The service has established links with local Māori advisors.  This includes; Te Poutokomanawa (Māori Health Service).  A Māori reverend attends residents that request his support, in addition to blessing rooms when a resident passes away.</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includes cultural safety with the most recent in-service undertaken May 2019.  A cultural assessment is completed during the Māori resident’s entry to the service.  There was one resident who identified as Māori who stated their cultural needs were met.  The care plan for this resident included the resident’s specific cultural and spiritual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All residents at the service at the time of audit were able to speak and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all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  Code of conduct training (including boundaries) was provided September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The service receives support from the district health board which includes visits from specialists (eg, wound care, mental health) and staff education and training.  Physiotherapy services are provided four to six hours per week.  There is a robust education and training programme for staff that includes in-service training, impromptu training (toolbox talks) and competency assessments.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Merrivale won the most improved Care Home of the Year Award in 2017 (awarded March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reports settled staffing period for the past 18 months with staff turnover lower than previous years.  Staff initiatives have included (but not limited to); support with smoking cessation and free flu vaccination.  The service reported an increased flu vaccination uptake for staff for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garden beautification project commenced in 2018 and continuing in 2019 has seen the majority of outdoor spaces improved.  This has included replanting in most areas and revamping areas such as the dementia garden.  Where possible residents have been involved in this initiative with some residents staining furniture and choosing plants. </w:t>
            </w:r>
          </w:p>
          <w:p w:rsidR="00EB7645" w:rsidRPr="00BE00C7" w:rsidP="00BE00C7">
            <w:pPr>
              <w:pStyle w:val="OutcomeDescription"/>
              <w:spacing w:before="120" w:after="120"/>
              <w:rPr>
                <w:rFonts w:cs="Arial"/>
                <w:b w:val="0"/>
                <w:lang w:eastAsia="en-NZ"/>
              </w:rPr>
            </w:pPr>
            <w:r w:rsidRPr="00BE00C7">
              <w:rPr>
                <w:rFonts w:cs="Arial"/>
                <w:b w:val="0"/>
                <w:lang w:eastAsia="en-NZ"/>
              </w:rPr>
              <w:t>Ongoing improvements include upgrading the care park and continuing internal refurbishment and new furniture.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Merrivale is part of the Bupa group of aged care facilities.  The care facility has a total of 66 beds suitable for rest home (22 beds), hospital (29 beds - including seven dual service beds) and secure dementia (15 beds) levels of care.  Hospital level of care is certified for medical.  During the audit there were 64 residents (21 rest home and 28 hospital and 15 secure dementia).  Two residents were receiving respite care (one rest home and one hospital level), and one hospital level care resident was funded through the young persons with a disability (YPD) contract. </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that has been individualised to Merrivale.  There are documented quality/health and safety goals that are reviewed 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Merrivale quality goals include the reduction of falls and the reduction of pressure injuries.  Both these goals have been reviewed through quarterly quality meetings and good progress has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an occupational therapist who has been in this role for over three years.  She is also the village manager for the Bupa village and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She is supported by a clinical manager who has been in the role for two years and a Bupa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clinical manager/RN is in charge.  In the absence of the clinical manager, an RN is in charge of clinical operations.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 range of meetings have been implemented to ensure communication with staff; this includes two monthly staff meetings, quarterly quality meetings, quarterly infection control meetings and regular clinical review meetings.  Data collected (eg, falls, medication errors, wounds, skin tears, pressure injuries, complaints, challenging behaviours) are collated and analysed with results communicated to staff.  Corrective actions are implemented where benchmarked data exceeds targets.</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Areas of non-compliance include the initiation of a corrective action plan with sign-off by a manager when implemented.  In addition to scheduled monthly internal audits, additional audits have been undertaken to ensure that corrective actions have been fully implemented as needed.  An annual facility health check is conducted by an external Bupa representative.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family surveys have been documented with improved scores noted for the year 2019; including staff, activities, the dementia unit, and family relationship with the home.  Their residents and relatives feedback reflected in an increase of +29 points from 2018 – 2019.  Their Net Promoter Score was +74 (74%) which was 3rd highest in the Bupa Group within New Zealand, and +27 above the Bupa national average.  They have also achieved 0% detractors are part of their resident/relative’s satisfaction survey for 2019.  Family/resident meetings have been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 specific and measurable health and safety goals that are regularly reviewed.  The care home manager is the health and safety officer.  The health and safety team meet quarterly as part of the quality meeting.  Staff undergo annual health and safety training which begins during their orientation.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Residents at risk of falling have a falls risk assessment completed with strategies implemented to reduce the number of falls.  Fall minimisation has been awarded a continued improvement.  Caregiver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All incidents are logged onto the electronic RiskMan programme and reviewed daily by the clinical manager to ensure they are fully completed and to ensure follow-up and resident safety.  A monthly report is collated, and any trends identified and discussed and addressed through quarterly quality meetings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Adverse events are investigated by the clinical manager and/or registered nursing staff, evidenced in all twelve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care home manager confirmed awareness of the requirement to notify relevant authorities in relation to essential notifications with examples provided.</w:t>
            </w:r>
          </w:p>
          <w:p w:rsidR="00EB7645" w:rsidRPr="00BE00C7" w:rsidP="00BE00C7">
            <w:pPr>
              <w:pStyle w:val="OutcomeDescription"/>
              <w:spacing w:before="120" w:after="120"/>
              <w:rPr>
                <w:rFonts w:cs="Arial"/>
                <w:b w:val="0"/>
                <w:lang w:eastAsia="en-NZ"/>
              </w:rPr>
            </w:pPr>
            <w:r w:rsidRPr="00BE00C7">
              <w:rPr>
                <w:rFonts w:cs="Arial"/>
                <w:b w:val="0"/>
                <w:lang w:eastAsia="en-NZ"/>
              </w:rPr>
              <w:t>Essential notifications since the previous audit have included; three unstageable pressure injuries, one police investigation for theft, one lack of RN cover and one influenza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Eight staff files reviewed (three caregivers, four RNs, including one-unit coordinator and one activities person)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The education programme being implemented is extensive and includes in-service training, competency assessments and impromptu (toolbox) talks.  Caregivers are expected to complete an aged care education programme that meets the New Zealand Quality Authority (NZQSA) requirements.  Fifty-four percent of caregivers have completed Level 2 NZ Certificate of Health and Wellbeing and 14% have achieved Level 3 NZQA – NZ Certificate in Health and Wellbeing.</w:t>
            </w:r>
          </w:p>
          <w:p w:rsidR="00EB7645" w:rsidRPr="00BE00C7" w:rsidP="00BE00C7">
            <w:pPr>
              <w:pStyle w:val="OutcomeDescription"/>
              <w:spacing w:before="120" w:after="120"/>
              <w:rPr>
                <w:rFonts w:cs="Arial"/>
                <w:b w:val="0"/>
                <w:lang w:eastAsia="en-NZ"/>
              </w:rPr>
            </w:pPr>
            <w:r w:rsidRPr="00BE00C7">
              <w:rPr>
                <w:rFonts w:cs="Arial"/>
                <w:b w:val="0"/>
                <w:lang w:eastAsia="en-NZ"/>
              </w:rPr>
              <w:t>The cook has completed a qualification in food safety and food hygiene.  All kitchen staff have completed their food safety training on 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RNs are in the process of completing their professional development recognition portfolio (PDRP).  Four of the nine RNs have completed their interRAI training.  The care home manager, clinical manager and staff are able to attend external training including sessions provided by the district health board.</w:t>
            </w:r>
          </w:p>
          <w:p w:rsidR="00EB7645" w:rsidRPr="00BE00C7" w:rsidP="00BE00C7">
            <w:pPr>
              <w:pStyle w:val="OutcomeDescription"/>
              <w:spacing w:before="120" w:after="120"/>
              <w:rPr>
                <w:rFonts w:cs="Arial"/>
                <w:b w:val="0"/>
                <w:lang w:eastAsia="en-NZ"/>
              </w:rPr>
            </w:pPr>
            <w:r w:rsidRPr="00BE00C7">
              <w:rPr>
                <w:rFonts w:cs="Arial"/>
                <w:b w:val="0"/>
                <w:lang w:eastAsia="en-NZ"/>
              </w:rPr>
              <w:t>There are six caregivers, an activities person, an enrolled nurse and a registered nurse who regularly work in the secure dementia unit.  Five caregivers, the enrolled nurse and RN have achieved the dementia unit standards.  One new caregiver has commenced the papers and the activities person has submitted all papers and was waiting for results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are in place.  Sufficient staff are rostered on to manage the care requirements of the residents.  The care home manager is a qualified occupational 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care home manager work Monday to Friday and provide on call.  There are three-unit coordinators who are included in the staffing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 whare Awhina (dementia unit) has 15 beds with a current occupancy of 15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roster consists of; for each of the AM and PM shifts one RN/EN or senior caregiver and one full shift caregiver.  There is one caregiver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An activity staff member is rostered to the dementia unit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Rata and Rima (rest home with two wings) has 22 beds with 21 residents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 RN/EN five days a week and a senior caregiver/RN/EN weekends.  Caregivers include; AM - two caregivers, PM - one senior caregiver/RN/EN and one caregiver.  There is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Kowhai and Nikau (hospital with two wings) has 29 beds with 28 residents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An RN is rostered for every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caregivers roster includes five caregivers for each of the AM and PM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Adequate numbers of caregivers are rostered with additional caregiver support available when needed.  Extra staff can be called on for increased residents'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demonstrated service integration.  This includes medical care interventions and records of the activity’s coordinator.  Medication charts are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policy in place.  Residents are assessed prior to entry to the service by the Need’s Assessment team.  Specific information is available for residents/families/whānau prior to admission or on entry.  The information pack includes all relevant aspects of the service and residents and/or family/whānau are provided with associated information.  There is also specific information for relatives in relation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in resident files were sighted, they had been signed and aligned with contractual requirements.  Exclusions from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death, discharge, transfer, documentation and follow-up.  All records of transfers are kept on the resident’s file.  All relevant information is documented on the Bupa transfer form and accompanied with a copy of the resident admission form, most recent GP consultation notes and medication information.  Resident transfer information is communicated to the receiving health provider or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documented evidence of family notification of appointments and transfers.  Relatives interviewed confirmed they are notified and kept informed of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There were two residents self-administering on the day of audit.  They had their competencies assessed as required; and their medication was stored safely.  There were locked medication rooms in the hospital section and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had daily temperature checks recorded and were within normal ranges.  The medication room temperatures were recorded.  The temperature of the medication room was being monitored and a system had been implemented to manage incidents where the temperature exceeded 25 degrees centigrade.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or medication competent caregivers who have completed their annual competency assessment administer medications.  There is an agreement in place with the pharmacy.  The facility uses a robotic pack medication management system for the packaging of all tablets.  Eyedrops and other liquid medications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The sixteen medication charts reviewed (eight hospital, four rest home and four dementia care) had photo identification and allergy status documented.  All medication charts evidenced three monthly reviews by the GP.  Prescribed medication is signed after being administered as witnessed on the day of the audit.  All ‘as required’ medication prescribed had indications for use documented by the GP.  Effectiveness of ‘as required’ medication administered was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 service utilises a four weekly summer and winter menu that has been reviewed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chef, and two other cooks and four kitchenhands employed by the service.  Meals are served from the hot box and/or bain marie to residents in the dining rooms and resident’s rooms.  All kitchen staff have in-house and Bupa safe food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 likes and dislikes are known, and alternative choices offered.  The residents have a nutritional profile developed on admission and the kitchen staff receive a copy, which identifies the residents’ dietary requirements and likes and dislikes.  Special diets include (but not limited to) gluten free, diabetic and moulied.  The cook is notified of any residents with weight loss.  Protein drinks and fluids are available in the kitchenette fridges.  There are nutritious snacks available 24 hours in the dementia unit.  Lip plates and specialised utensils are provided to promote and maintain independence with meals.  Fridge, freezer and end-cooked meat temperatures are taken and recorded daily.  Perishable foods sighted in the kitchen and facility kitchenette fridges were dated.  The dishwasher is checked regularly by the chemical supplier.  Staff have received training in chemical safety.  Chemicals are stored safely.  A signed cleaning schedule is maintained.  There is a food control plan that expires 22 Sept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midday meal on both the audit days.  Resident meetings and surveys, along with direct input from residents, provide resident feedback on the meals and food services.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level of care required or there are no beds available.  Management communicate directly with the referring agencies and family/whānau as appropriate if entry was declined.  Potential residents would be referred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Bupa assessment booklets and person-centred templates for all residents.  Assessments include falls, Braden pressure area, skin, mini nutritional, continence, pain, activities and culture.  Nutritional and dietary requirements are completed on admission.  Additional risk assessment tools include behaviour and wound assessments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needs and supports are identified through the ongoing assessment process in consultation with significant others as verified in the staff and family/whānau interviews.  InterRAI assessments, assessment notes and summary were in place for the seven long-term resident files reviewed.  The respite resident’s file had a short stay assessment completed on admission.  The outcomes of the assessments are reflected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care resident (rest home) was not required to have a long-term care plan, however the initial assessment and care plan sighted was completed on time.  The long-term care plans reviewed recorded the resident’s problem/need and objectives/interventions to support resident needs and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demonstrated service integration and evidence of allied health care professionals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the files sighted that residents (as appropriate) and their family/whānau were involved in the care planning process.  Short-term care plans reviewed were in use for changes in health status.  Short-term care plans were reviewed and resolved or added to the long-term care plan if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sampled had detailed progress which reflected the interventions detailed in the long-term care plans.  When a resident's condition alters, the registered nurse initiates a review and if required, initiates a GP or specialist consultation.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23 wounds (two in the rest home, eight in the dementia unit and thirteen in the hospital) being treated in the facility.  There were four residents with facility acquired pressure injuries at the time of audit.  One resident had two pressure injuries that were initially classified as unstageable; a section 31 had been completed for both pressure injuries.  There had been district nurse and GP involvement for both injuries, which are now healing.  Three pressure injuries were grade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had wound assessments, plans and ongoing evaluations completed.  All chronic wounds were documented in the long-term care plans with interventions for care staff around dressing changes, signs and symptoms of infection and position changes.  Dimensions, and in some cases, photographs were taken to reflect improvement or deterioration.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enough continence and dressing supplies available as sighted and confirmed in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demonstrated understanding of the individualised needs of residents.  Monitoring forms reviewed included monthly weight and vital sign monitoring, food and fluid charts, behaviour charts and daily activity check lists.  The short-term care plans evidenced appropriate interventions to manage short-term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employ three activity coordinators that work Monday to Friday.  Volunteers contribute to the activity programme including entertainers.  The activities staff have undertaken or are currently undertaking dementia papers and have their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coordinators complete the initial activities assessment and input with the cultural assessment, ‘map of life’ and ‘my day my way’ adding additional information as appropriate.  Activities plans were completed and a monthly record of attendance to activities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covers activities across the rest home, hospital and dementia unit.  A copy of the weekly activities programme is in the resident’s room.  The monthly and weekly programmes are displayed on noticeboards throughout the facility.  There are a wide range of activities available for all residents to participate 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for all residents that includes; craft, music, exercises, reminiscing, baking, entertainers and regular van outings.  One-on-one activities occur such as individual walks, reading and chats for residents who are unable or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Van outings included (but are not limited to) visits to beaches, the country, the library, picnics and cafes.  Residents have attended the Council Christmas Party; Rest Home Olympics and the Battle of the Brains.  Community links are maintained with church groups, the RSA, community speakers, a local childcare, and the local college.  Church group comes in once a month and provide an inter-denominational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on duty in the dementia unit incorporate resident small group and individual activities as part of their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stated they take time to get to know the residents and what their hobbies and interests have been prior to commencing the programme.  Activities coordinators ensure that residents are involved with development of the activities programme.  There is a range of music available with regular entertainers.  There are regular resident meetings, where residents have the opportunity to provide feedback on all aspects of the facility including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feel the activities are enjoyable and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activities programme had undertaken improvement in their activities programme through increasing the variety and quality of resident activities, meeting cultural and spiritual needs and support from staff during activities had increased.  A continuous improvement has been awarded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are reviewed and evaluated by the registered nurse at least six-monthly or more frequently to reflect changes in health status.  Six monthly multi-disciplinary reviews (MDR) and meeting minutes are completed by the registered nurse with input from care staff, allied health and family/whānau.  The review checklist identifies the family member who has attended the review.  There was evidence that residents were reviewed by the medical practitioner three monthly or more regularly as required when there was any deterioration in health status.  Wound care charts were evaluated in a timely manner.  Care plans are updated when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Referrals to other health and disability services were evident in the residents’ files sighted.  The service facilitates access to other medical and non-medical services.  Referral documentation is maintained on residents’ files.  Files sighted included referrals to occupational therapist, physiotherapy, dietitian, mental health services and hospital specialists.  Discussions with the clinical manager and registered nurses identified that the service accesses emergency services, allied health, dietitians, physiotherapy, mental health services and wound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place for the management of waste and hazardous substances to ensure incidents are reported in a timely manner.  Chemicals are correctly labelled and stored in locked cupboards throughout the facility.  Staff training on chemical safety, management of waste and hazardous substances has been evidenced.  Safety datasheets and product wall charts are available to all staff.  Approved sharps containers are available and meet the hazardous substances regulations for containers.  Gloves, aprons and goggles are available for staff.  Infection control policies state specific tasks and duties for which protective equipment is to be worn.  Staff were observed wearing appropriate personal protective clothing when carrying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 June 2020.  There is a full-time maintenance person on staff who is on call after-hours.  There is a planned preventative and reactive maintenance programme in place.  The checking of medical equipment including hoists, has been completed annually.  The hot water temperatures are monitored weekly on a room rotation basis.  Temperatures were recorded between the required ranges.  The living areas are carpeted, and vinyl surfaces exist in bathrooms/toilets and kitchen areas.  The building has two levels with a lift and stair access between the rest home/hospital wings and serviced apartments.  The corridors are wide and promote safe mobility with the use of mobility aids and transferring equipment.  Residents were observed moving freely around the facility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with shade sails in place and a ramp for wheelchair access to all external areas.  The secured unit has keypad entry and exit access.  The outdoor area in the dementia unit is secured with an external gate and gardens are well maintained with easy access from lounge areas.  The outside area has shaded seating and raised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caregivers interviewed stated that they have enough equipment referred to in care plans and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hospital and rest home rooms with and without ensuites.  Some ensuites are shared.  Residents in the dementia section use communal toilets and showers that are clearly identified.  There are adequate numbers of communal toilets and shower facilities in the rest home, hospital and dementia wings.  There is appropriate signage, easy clean flooring and fixtures and handrails appropriately placed.  Most resident rooms have hand basins.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The bedrooms are spacious enough to easily manoeuvre transferring and mobility equipment to safely deliver care.  Staff interviewed reported that rooms have enough space to allow cares to take place.  Residents are encouraged to bring their own pictures, photos and furniture to personalise their room.  A tour of the facility evidenced personalised rooms including the residents own furnishing and adornments.  Hospital bedrooms had wider doorways to enable easier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spacious open plan large lounges and dining rooms in the rest home, hospital and dementia wings.  There are seating alcoves throughout the facility for residents and families.  All lounge/dining rooms are accessible and accommodate the equipment required for the residents.  Residents can move around freely and furniture is well-arranged to facilitate this.  All the dining rooms and lounges accommodate specialised lounge chairs as evidenced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are arranged to allow both individual and group activities to occur.  There is adequate space to allow maximum freedom of movement while promoting safety for those that wander.  Care staff assist or transfer residents to communal areas for dining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including cleaning department, use of equipment policy and cleaning schedules.  All laundry and personal clothing are laundered on site.  There are dedicated laundry staff on duty daily.  There is a defined clean/dirty area within the laundry which also has an entry and exit door.  Chemicals are stored securely in the laundry area.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cleaners for each of the service areas.  Personal protective equipment is available in the laundry, cleaning and sluice room.  Staff were observed to be wearing appropriate protective wear when carrying out their duties.  The cleaner’s trolleys are stored in locked areas when not in use.  Both the laundry and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Fire drills are scheduled every six months.  There are emergency management plans in place to ensure health, civil defence and other emergencies are included.  A contracted service provides checking of all facility equipment including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supplies in the event of a civil defence emergency including food, blankets and gas cooking and water.  A minimum of one person trained in first aid and cardiopulmonary resuscitation (CPR) is available at all times at the facility.  There are call bells in the residents’ rooms, and lounge/dining room areas.  Residents were observed to have their call bells in close proximity.  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heating and air conditioning throughout the communal areas and resident rooms.  All communal rooms and bedrooms are well ventilated and well lit.  The auditor noted that temperature of the facility was comfortable.  There is plenty of natural light in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infection control coordinator is a registered nurse (clinical manager) and she is responsible for infection control across the facility.  The committee and the Bupa governing body in conjunction with Bug Control, is responsible for the development of the infection control programme and its review.  The infection control programme is well established at Bupa Merrivale.  The infection control committee consists of a cross section of staff and there is external input as required from general practitioners, and local community laboratory.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The infection control (IC) coordinator has maintained best practice by attending infection control updates.  The infection control team is representative of the facility.  External resources and support are available when required.  Bupa has also recruited an infection control specialist who provides advise and support.</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washing and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received education by an external provider to enhance her skills and knowledge.  The infection control coordinator has access to the Bupa intranet with resources, guidelines and best practice.</w:t>
            </w:r>
          </w:p>
          <w:p w:rsidR="00EB7645" w:rsidRPr="00BE00C7" w:rsidP="00BE00C7">
            <w:pPr>
              <w:pStyle w:val="OutcomeDescription"/>
              <w:spacing w:before="120" w:after="120"/>
              <w:rPr>
                <w:rFonts w:cs="Arial"/>
                <w:b w:val="0"/>
                <w:lang w:eastAsia="en-NZ"/>
              </w:rPr>
            </w:pPr>
            <w:r w:rsidRPr="00BE00C7">
              <w:rPr>
                <w:rFonts w:cs="Arial"/>
                <w:b w:val="0"/>
                <w:lang w:eastAsia="en-NZ"/>
              </w:rPr>
              <w:t>A number of toolbox talks have been provided including (but not limited to) preventing UTIs.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trends,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reports are completed for all infections on the incident management programme (RiskMan).  Infections are included on a monthly register and a monthly report is collated by the infection control coordinator with a corrective action plan.  Infection control data and corrective actions are reported at the infection control,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linked with the Bupa quality management programme.  The results are subsequently included in the care home manager’s report on quality indicators.  Internal infection control audits and surveillance of infection control data assists the service in evaluating compliance with infection control practises and identifying infection control needs.  There is close liaison with the resident’s GP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One influenza outbreak during May/June 2019 was reported to Public Health and managed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and no residents using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73"/>
        <w:gridCol w:w="1280"/>
        <w:gridCol w:w="7121"/>
        <w:gridCol w:w="1660"/>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resident files were sampled, this included one respite resident and one resident under 65 years of age.  The respite resident did not require a long-term care plan.  The sample size was increased to ten files.  Five long-term care plans were not completed within the required timeframe.  There was evidence that one initial interRAI assessment was not completed within the required timeframe.  The care plans had been reviewed and evaluated by the registered nurse at least six-monthly or more frequently to reflect changes in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hospital and one dementia long-term care plan had not been completed within 21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initial interRAI assessment for a resident in dementia care had not been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initial long-term care plans are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initial interRAI assessments are completed within 21 days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850"/>
        <w:gridCol w:w="69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January 2019 the service noted that the incidences of falls in the hospital had increased.  An in-depth falls review was undertaken, and falls were noted to be more prevalent in the resident rooms and in the evening.  A plan was implemented, aimed at reducing the incidence of falls.  All falls were monitored monthly by the clinical manager.  The weekly clinical review meeting and quarterly quality meetings also documented reporting and monitoring of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an in-depth review of falls an action plan was developed.  The plan included the aims of reducing falls and also reducing harm from falls.  The plan included targeting individuals who had been identified as high risk of falls or had been frequent fallers.  These residents were discussed (and continue to be so) at weekly clinical review meetings along with strategies to reduce their falls.  Individual interventions have included; the purchase and use of sensor clips that alert if the resident moves from the chair/bed, and additional crash mats as needed.  Rooms were re-arranged for some residents to reduce the risk of falls.  An example was that the bathroom door was changed so the resident did not step backwards when opening the door and another resident was moved to a higher visibility room to assist closer observation.</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included using handovers to provide a higher priority for falls information and education and one-on-one discussion with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commenced fall minimisation meetings, however the team felt that due to the relatively small size of the service, the meeting did not contribute to the process of falls reduction.  Clinical review meetings, quality meetings and daily review of incident forms were felt to be a more productive use of time. </w:t>
            </w:r>
          </w:p>
          <w:p w:rsidR="00EB7645" w:rsidRPr="00BE00C7" w:rsidP="00BE00C7">
            <w:pPr>
              <w:pStyle w:val="OutcomeDescription"/>
              <w:spacing w:before="120" w:after="120"/>
              <w:rPr>
                <w:rFonts w:cs="Arial"/>
                <w:b w:val="0"/>
                <w:lang w:eastAsia="en-NZ"/>
              </w:rPr>
            </w:pPr>
            <w:r w:rsidRPr="00BE00C7">
              <w:rPr>
                <w:rFonts w:cs="Arial"/>
                <w:b w:val="0"/>
                <w:lang w:eastAsia="en-NZ"/>
              </w:rPr>
              <w:t>GP provided assistance with the nursing team and reviewed all medications as needed.  The activity team reviewed and implemented changes to the activity plan.  The nursing care plans were also reviewed and updated as needed.  As a result of the plan and the changes, these interventions have resulted in a 20% decrease in falls in the hospital unit, in comparison to the same period last year.  This year falls have reduced from 21 falls in the hospital July to six falls during November.  The service intends to roll the process out to the rest home and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January 2019, the activities team held a planning workshop to plan their programme and address improvement opportunities.  The 2018 survey results for activities were reviewed and the plan was to focus on van outings; entertainment; team meetings; calendars; noticeboards; a Friday speakers’ group; activity skills group; Bupa themes and additional resources.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improvement in the activities programme had occurred.  This was measured through survey results being compared from 2018 to 2019.  Resident satisfaction had increased in the following areas: the variety and quality of resident activities; meeting cultural and spiritual needs; and support from staff during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Survey results for Bupa Merrivale Rest Home for 2018 to 2019 indicated an increase in satisfaction.  Survey results are: satisfaction with the variety of activities 63% to 79%; quality of excursions 63% to 78%; meeting cultural and spiritual needs 72% to 79%; support from staff during activities 82% to 86%. </w:t>
            </w:r>
          </w:p>
          <w:p w:rsidR="00EB7645" w:rsidRPr="00BE00C7" w:rsidP="00BE00C7">
            <w:pPr>
              <w:pStyle w:val="OutcomeDescription"/>
              <w:spacing w:before="120" w:after="120"/>
              <w:rPr>
                <w:rFonts w:cs="Arial"/>
                <w:b w:val="0"/>
                <w:lang w:eastAsia="en-NZ"/>
              </w:rPr>
            </w:pPr>
            <w:r w:rsidRPr="00BE00C7">
              <w:rPr>
                <w:rFonts w:cs="Arial"/>
                <w:b w:val="0"/>
                <w:lang w:eastAsia="en-NZ"/>
              </w:rPr>
              <w:t>Van outings for residents increased.  Each care home community previously offered a van outing once a month; this is now offered one to two weekly.  The range of destinations and activities for van outings has increased.</w:t>
            </w:r>
          </w:p>
          <w:p w:rsidR="00EB7645" w:rsidRPr="00BE00C7" w:rsidP="00BE00C7">
            <w:pPr>
              <w:pStyle w:val="OutcomeDescription"/>
              <w:spacing w:before="120" w:after="120"/>
              <w:rPr>
                <w:rFonts w:cs="Arial"/>
                <w:b w:val="0"/>
                <w:lang w:eastAsia="en-NZ"/>
              </w:rPr>
            </w:pPr>
            <w:r w:rsidRPr="00BE00C7">
              <w:rPr>
                <w:rFonts w:cs="Arial"/>
                <w:b w:val="0"/>
                <w:lang w:eastAsia="en-NZ"/>
              </w:rPr>
              <w:t>Entertainment has included an increase in performers.  A portable keyboard enables entertainers to use all lounges and residents with musical talents are encouraged to play.  Residents from the dementia section now attend entertainment sessions in the rest home and hospital.  Groups of entertainers visited during both days of the two-day audit.  Residents commented on how enjoyable these sessions were and were observed participating.</w:t>
            </w:r>
          </w:p>
          <w:p w:rsidR="00EB7645" w:rsidRPr="00BE00C7" w:rsidP="00BE00C7">
            <w:pPr>
              <w:pStyle w:val="OutcomeDescription"/>
              <w:spacing w:before="120" w:after="120"/>
              <w:rPr>
                <w:rFonts w:cs="Arial"/>
                <w:b w:val="0"/>
                <w:lang w:eastAsia="en-NZ"/>
              </w:rPr>
            </w:pPr>
            <w:r w:rsidRPr="00BE00C7">
              <w:rPr>
                <w:rFonts w:cs="Arial"/>
                <w:b w:val="0"/>
                <w:lang w:eastAsia="en-NZ"/>
              </w:rPr>
              <w:t>Activities calendars are now centralised with all activities being displayed on the calendar, enabling increased options for residents.  These are displayed on the noticeboards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Friday speakers’ group and outings have proved popular with a range of speakers from the community presenting to residents.  Resident numbers attending these sessions have increased and up to ten residents (both male and female) now attend these sessions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Merrivale Rest Home</w:t>
    </w:r>
    <w:bookmarkEnd w:id="58"/>
    <w:r>
      <w:rPr>
        <w:rFonts w:cs="Arial"/>
        <w:sz w:val="16"/>
        <w:szCs w:val="20"/>
      </w:rPr>
      <w:tab/>
      <w:t xml:space="preserve">Date of Audit: </w:t>
    </w:r>
    <w:bookmarkStart w:id="59" w:name="AuditStartDate1"/>
    <w:r>
      <w:rPr>
        <w:rFonts w:cs="Arial"/>
        <w:sz w:val="16"/>
        <w:szCs w:val="20"/>
      </w:rPr>
      <w:t>5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