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Lister Home Incorporated - Lister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Lister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Lister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2019</w:t>
      </w:r>
      <w:bookmarkEnd w:id="7"/>
      <w:r w:rsidRPr="009418D4">
        <w:rPr>
          <w:rFonts w:cs="Arial"/>
        </w:rPr>
        <w:tab/>
        <w:t xml:space="preserve">End date: </w:t>
      </w:r>
      <w:bookmarkStart w:id="8" w:name="AuditEndDate"/>
      <w:r w:rsidR="00A4268A">
        <w:rPr>
          <w:rFonts w:cs="Arial"/>
        </w:rPr>
        <w:t>22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previously decommissioned bedroom used for office space has been reconfigured back into a bedroom increasing the total number of beds from 62 to 63.</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Lister home and hospital is governed by a community trust board, comprised of representatives from all local churches in Waimate.  The service provides care for up to 63 residents at hospital (geriatric and medical) and rest home level care.  This includes one bed designated for respite care and one bed designated for palliative care.  On the day of the audit there were 56 residents.</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The non-clinical manager has been in the role for 11 months, she is supported by an experienced clinical manager (RN), registered nurses, an enrolled nurse and long-standing caregivers.</w:t>
      </w:r>
    </w:p>
    <w:p w:rsidRPr="00A4268A">
      <w:pPr>
        <w:spacing w:before="240" w:line="276" w:lineRule="auto"/>
        <w:rPr>
          <w:rFonts w:eastAsia="Calibri"/>
        </w:rPr>
      </w:pPr>
      <w:r w:rsidRPr="00A4268A">
        <w:rPr>
          <w:rFonts w:eastAsia="Calibri"/>
        </w:rPr>
        <w:t>The three previous audit shortfalls around quality documentation, education and service delivery implementation continue to require improvement.</w:t>
      </w:r>
    </w:p>
    <w:p w:rsidRPr="00A4268A">
      <w:pPr>
        <w:spacing w:before="240" w:line="276" w:lineRule="auto"/>
        <w:rPr>
          <w:rFonts w:eastAsia="Calibri"/>
        </w:rPr>
      </w:pPr>
      <w:r w:rsidRPr="00A4268A">
        <w:rPr>
          <w:rFonts w:eastAsia="Calibri"/>
        </w:rPr>
        <w:t>This surveillance audit identified shortfalls around communication, incident reporting, RN documentation and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The rights of the resident and/or their family to make a complaint is understood, respected and upheld by the service.  A system for managing complaints is in place.  Relatives interviewed felt they were updated promptly of all adverse events.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Lister home and hospital has a documented quality and risk management system that supports the provision of clinical care and support.  A resident satisfaction survey has been completed in 2019.  There are regular resident/relative meetings.  Incidents are documented.  The service has in place an orientation programme that provides new staff with relevant information for safe work practice.  There is an in-service training programme and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documentation.  InterRAI assessments and care plans are completed and reviewed within required timeframes.  Planned activities are appropriate to the resident’s assessed needs and abilities.  Residents and relatives were satisfied with the activities programme.  The service uses an electronic medication management system.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Preventative and reactive maintenance occurs.  The facility is spacious and provides adequate space for residents to access all communal areas using mobility aids.  The external gardens are well maintained and accessible to all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policies and procedures are comprehensive, and include definitions, processes and use of restraints and enablers.  At the time of the audit there were eight residents requiring restraints and one resident using an enabler.  Staff training has been held for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Lister Home continues to implement their infection surveillance programme.  Infection control issues are discussed at both in the infection control and quality/staff meetings.  The infection control programme is linked with the quality programme.  A recent viral outbreak was managed well, notifications were made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1"/>
        <w:gridCol w:w="1280"/>
        <w:gridCol w:w="101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A record of all complaints, both verbal and written is maintained by the facility manager on the complaints register.  Five complaints have been received since the last audit; two in 2018 and three in 2019.  Documentation and correspondence reflected evidence of responding to the complaints in a timely manner with appropriate follow-up actions taken.  The staff interviewed could describe directing the complainant to the most senior person on duty.  Residents and relatives advised that they are aware of the complaints procedure and how to access forms.  The relatives interviewed stated they feel comfortable discussing concerns with the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Five residents (three hospital and two rest home) interviewed stated that they were welcomed on entry and were given time and explanation about the services and procedures.  Both the facility manager and clinical manager were available to residents and relatives and they promote an open-door policy.  The two relatives (one rest home, one hospital) interviewed advised that they are notified of incidents and when residents’ health status changes promptly.  The staff (one registered nurse, one enrolled nurse, four caregivers, one kitchen manager one maintenance man, and the diversional therapist) interviewed, fluently described instances where relatives would be notified, however not all ten incident reports reviewed documented relative notifications.  Interpreter services are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and Hospital is governed by a community trust board, comprised of representatives from all local churches in Waimate.  The service provides care for up to 63 residents at hospital (geriatric and medical) and rest home level care.  One room previously used as an office space is now used as a bedroom again.  The facility manager advised she notified MOH.  There is one bedroom designated for respite care, a palliative care suite and up to seven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56 residents in total – 27 at rest home level (including two under mental health contracts, one under a residential physical disability contract and one on carer support, and one respite) and 29 hospital level (including one on a long-term support – chronic health contract (LTS-CHC) and one younger person on a disability (YPD)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strategic plan, a quality and risk plan, and a risk and management plan documented.  Organisation goals are documented and reflect the philosophy of this Christian-based organisation.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reports to the board monthly, against the quality and risk plans and on a variety of operational issues.  The clinical manager reports on 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Lister Home is managed by a non-clinical facility manager who has been in the role since January 2019.  She has a background in financial consulting and was a business lecturer at ARA.  The manager is supported by a clinical manager (RN), who has worked at the facility for 17 years.  She has been in the role for 17 months.  An enrolled nurse (EN) who has worked at Lister Home for 23 years and manages the rest home area.  They are supported by registered nurses and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completed a minimum of eight hours of professional development relating to the management of an aged care service in the past twelve months including attendance at the NZACA conference, attends the monthly DHB meetings and the compulsory education at the facility.  The clinical manager attended the NZACA conference and completes in-house training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plan for 2019 to 2020 is in place which includes the values, mission and philosophy of the service.  Objectives for the year include maintaining the good reputation with the facility, investing in staff through reviewing the wage structure and increasing education and training opportunities.  The facility manager and clinical manager report progress to the board and attend the board meetings on a 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occurred according to the schedule in 2019; there was a catch-up period in late 2018 to compete all internal audits for the year.  This is an improvement since the previous audit.  All audit templates included corrective actions identified, which have been signed off as completed, however the results have not consistently been discussed at meetings.  A recent external DHB contracts audit had been undertaken, the results were not available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the following quality initiatives since the last audit (but not limited to); working on purchasing of new equipment including hi/low beds; to reduce the use of restraint, installing ceiling hoists to resident rooms, and refurbishing lounge and dining areas.  Staff have been fundraising to make improvements to the palliative care suite.  There have been improvements to food services, including improving the dining experience, a review of the menu, meal presentation and reduction of food wastage.  There have also been improvements made around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resident or relative satisfaction survey held in 2018, and the 2019 satisfaction survey had just occurred.  The results were in the process of being collated at the time of the audit and showed overall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meeting structure for 2020 is under review.  Meetings including RN/EN, unit (hospital and rest home) meetings and health and safety/infection control meetings have been held.  However, these minutes do not consistently discuss quality data analysis and trends.  This is an area that continues to require improvement.  Advised that the minutes of all meetings are available in the staff room for all staff to read and sign, however the meetings have not been held according to schedule.</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accident/incident and infection reports provided and these were displayed in the staff room.  There is a hazard management, health and safety, and risk management programme in place.  There are facility goals around health and safety.  The health and safety officer was interviewed.  There is a designated health and safety committee who meet as part of the quality meetings.  The hazard register is currently under review.  Five health and safety representatives have completed external level 1 and 2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post falls reviews and individual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all incidents/accidents.  All incident forms are reviewed and collated monthly.  A report is provided to the board monthly, and also posted on the staffroom noticeboards (link 1.2.3.6).  Ten resident related incident/accident forms were reviewed.  Individual incident reports have been completed for each incident/accident, with immediate action noted and individual resident risks were documented as followed up.  The incident/accident forms reviewed did not always document immediate follow-up by a RN including completion.  Neurological observations were documented for all unwitnessed falls or falls with a possible head injury.  This is an improvement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confirmed an awareness of the requirement to notify relevant authorities in relation to essential notifications.  There had been seven section 31 notifications for two intruders entering the building, influenza outbreaks, an RN shortage, three stage 3 pressure injuries (one facility acquired), and an instance when money was stolen.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Six staff files were reviewed (three registered nurses - morning, afternoon and night, one activities coordinator, a kitchenhand and a night caregiver).  All had relevant documentation relating to employment, however not all staff had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that is being implemented that exceeds eight hours annually; however, does not include all compulsory education required.  The previous shortfall continues to require improvement.  There is evidence in the registered nurse files of attendance at the DHB external training.  Interviews with caregivers confirmed participation in the Careerforce training programme.  A competency programme is in place that includes annual medication competency for staff administering medications.  Core competencies are completed, and a record of completion is maintained and signed.  Competency questionnaires were sighted in reviewed files.  The enrolled nurse and two RNs are trained in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caregivers and one activities coordinator completing level 4 Careerforce training.  Nine caregivers are completing level 3 and three are completing level 2 Careerforce training.  All nurses and senior caregivers have a current first aid certificate,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has a documented rationale for determining staffing levels and skill mixes for safe service delivery.  There is a roster that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manager work five days a week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29 beds (28 residents including two on mental health contracts and six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The enrolled nurse works Monday to Friday.  A senior caregiver is on duty over the weekends with oversight from the hospital RN.</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four caregivers rostered on the morning shift; 1x 7 am to 3.30 pm, 2x 7.30 am to 1 pm and 1x 8.30 am to 11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is covered by three caregivers; 1x 3.15 pm to 11.15 pm, 1x 4.30 pm to 8.30 pm, and 1x 5 pm to 8 pm. </w:t>
            </w:r>
          </w:p>
          <w:p w:rsidR="00EB7645" w:rsidRPr="00BE00C7" w:rsidP="00BE00C7">
            <w:pPr>
              <w:pStyle w:val="OutcomeDescription"/>
              <w:spacing w:before="120" w:after="120"/>
              <w:rPr>
                <w:rFonts w:cs="Arial"/>
                <w:b w:val="0"/>
                <w:lang w:eastAsia="en-NZ"/>
              </w:rPr>
            </w:pPr>
            <w:r w:rsidRPr="00BE00C7">
              <w:rPr>
                <w:rFonts w:cs="Arial"/>
                <w:b w:val="0"/>
                <w:lang w:eastAsia="en-NZ"/>
              </w:rPr>
              <w:t>Hospital 32 beds (29 residents including one YPD, one LTS-CHC, and two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rostered across all shifts.  </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six caregivers on the morning shift; 1x 6.45 am to 3.15 pm, 1x 6.45 am to 3 pm, 2x 7.30 am to 1 pm, and 2x 8.30 am to 1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five caregivers rostered; 1x 2.45 pm to 11.15 pm, 1x 3.30 pm to 9.30 pm, 1x 5 pm to 11.15 pm, 2x 5 pm to 8 pm.  </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is covered by one RN and two caregivers (one in each wing) from 10.45 pm to 7.15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 caregivers and residents confirmed that there are sufficient staff to meet care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have implemented an electronic medication management system.  The supplying pharmacy couriers all medicines in blister packs for regular and ‘as required’ medications.  Medications were checked and signed on arrival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senior caregivers are assessed as medication competent to administer medication.  Five RNs have completed syringe driver training.  The three who have not are booked in for the next session available.  Standing orders were not in use.  The medication fridge temperatures have been monitored daily by the maintenance person, however not always in the rest home area.  Medication room temperatures were recorded at 22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files were reviewed.  Medication reviews were completed by the GP three monthly.  ‘As required’ medications were prescribed correctly with indications for use.  Medications are stored securely in the locked nurses’ station in the rest home area and a locked medication room for the hospital wings.  Controlled drug medications were appropriately stored.  There were no self-medicating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Lister Home are prepared and cooked on-site.  They are transported to the smaller dining rooms and lounges in hot boxes from which the staff serve the meals.  There is a four-weekly seasonal menu which has been reviewed in November 2019.  There is a verified food control plan, completed by the local council.  Fridge, freezer and chiller temperatures are taken and recorded daily.  End-cooked food temperatures are recorded daily.  The dishwasher is checked regularly by the chemical supplier.  Fridge temperatures are recorded for the fridges in each resident dining/servery area.  All food services staff have completed training in food safety and hygiene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were aware of all resident’s special dietary requirements on the day of audit.  The cook is aware if residents are losing weight or not enjoying meals and she discusses with them or their families what food they would prefer, and this is provided.  The kitchen manager had input from the dietitian around provision of diets for medical conditions such as diverticulitis.  Supplements are provided to residents with identified weight loss issues.  Individual resident likes, and dislikes are accommodated.  Pureed, gluten free and diabetic desserts are provided.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Resident meetings and surveys allow the opportunity for resident feedback on the meals and food services generally.  The kitchen manager stated the residents also regularly provide verbal feedback.  Residents and relatives interviewed were very complimentary about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a registered nurse initiates a review and if required, GP, nurse specialist consultation.  The caregivers follow the care plan and report progress at the end of each shift.  The relatives interviewed stated they were notified of any changes to their relative’s health.  Short-term care plans were used for short term/acute changes in care.  These were in place for infections in the resident files reviewed.  A review of five resident files identified goals and interventions; however, there were no interventions in place for a resident using restraint, and risks of restraint use was not identified.</w:t>
            </w:r>
          </w:p>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had been completed for unwitnessed falls where there was a possibility of a head injury.  This previous shortfall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wounds on the day of the audit including three chronic wounds and one stage 2 facility acquired pressure injury.  The district nurses were visiting to review this wound, and the GP had reviewed the wound and progression.  All wounds had individual wound assessments, plans and evaluations which indicated progression or deterioration of the wounds.  Adequate dressing supplies were sighted in treatment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resident files included a urinary continence assessment, bowel management, and continence products identified.  There is access to a continence nurse specialist by referral.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used for weight and vital signs, blood sugar levels, pain, challenging behaviour, and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and two activities coordinators who lead the activities programme over seven days a week.  The activities team have first aid certificates.  Activities assessments and the social profile are completed with family input two weeks after admission to allow time for settling.  An activities plan is created with the resident (as appropriate) with resident-centred goals.  The plan is evaluated six monthly.  An activities attendance record for each resident is maintained and added to the resident files two monthly.  Each member of the team has a ‘document’ day to ensure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planned a month ahead and are printed weekly with a newsletter on the back of the weekly planner.  Each resident has a copy of this for their reference.  Daily activities are posted on noticeboards around the facility.  One-on-one time with residents occurs, which was verified during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activities include church services, exercises, craft, baking, group games, happy hours, newspaper reading, and quizzes.  Afternoon activities are combined and held in the main lounge.  There are entertainers (sighted during the audit) and guest speakers who visit the facility.  The residents recently were part of a market day to raise money for the sensory garden for the palliative suite.  Activities for younger residents are very resident-centred.  Younger residents interviewed stated they are encouraged to be active within the community and can participate in group activities in house, and they have the opportunity for one-on-one activities of their choice.  Van outings occur more often in the summertime and include going out for afternoon tea, and shopping trips.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every four months.  The residents provide verbal feedback and suggestions as they arise.  The residents interviewed expressed satisfaction with the current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for long-term residents were evaluated by the clinical manager, registered nurse or enrolled nurse (under RN supervision) within three weeks of admission and long-term care plans developed.  Long-term care plans have been evaluated by the clinical manager or nurses six monthly, using the interRAI tool or earlier for any health changes for files reviewed.  The GP reviews the residents at least three-monthly or earlier if required.  Ongoing nursing evaluations occur as indicated and are documented within the progress notes or the care plan.  The short-term care plans have been reviewed and evaluated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expiring on 1 August 2020.  Preventative and reactive maintenance occurs, and records are maintained.  Hot water temperatures are checked randomly and were within ranges.  Tradesmen are available if required.  Equipment has been tagged and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accessible for residents using mobility aids.  There are communal lounge areas within each wing, with large communal lounge and dining areas in the hospital and rest home wings.  Corridors are wide with large floor to ceiling windows and seating areas for residents to enjoy.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Outdoor areas and gardens are manicured and accessible to residents.  One area has raised gardens where residents grow vegetables.  The gardens have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previously decommissioned resident bedroom used for office space, has been reconfigured into a bedroom.  The room is spacious with an ensuite and built-in wardrobe.  Call bells are in place and there is adequate space for the use of equipment and mobility aids.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and pressure injury equipment (if required),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continues to implement their infection surveillance programme.  Individual infection alert forms were completed for all infections.  Infections were included on a monthly register and a monthly report and graphs were completed by the infection control coordinator (registered nurse).  Infection control (IC) issues are discussed at the combined quality and staff meetings, however there was no evidence of discussing trends (link 1.2.3.6).  In-service education is provided annually and in toolbox talks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recent viral outbreak, notifications were made in a timely manner, and logs were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other de-escalation strategies have been ineffective.  Restraint minimisation policies and procedures include definitions, processes and use of restraints and enablers.  The clinical manager is the restraint coordinator.</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eight residents using restraints; four residents using bedrails and four using lap belts on wheelchairs.  One of the residents is using both bedrails and a lap belt.  There was one resident using a bedrail as an enabler.  Monitoring charts were in place and maintained, overall the use of restraint is linked to the care plan (link 1.3.6.1).  Staff training has been held for management of challenging behaviours, however there has been no restraint education sessions held (link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3"/>
        <w:gridCol w:w="1280"/>
        <w:gridCol w:w="4969"/>
        <w:gridCol w:w="2462"/>
        <w:gridCol w:w="18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relatives and staff stated there was a good flow of information between the facility and staff.  Relatives visit regularly, and feel the staff are prompt at reporting adverse events, however, this was not well documented either on the incident reports or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ten incident reports did not evidence NOK notification or reason why not notified.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documentation of notifications is clearly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have been meetings held sporadically throughout the year.  Nurses and caregivers interviewed confirmed minutes are available to staff on noticeboards.  Current infections and precautions are discussed at handovers; however, there was no documentation around discussions around trending of quality data including results and corrective actions of internal audits.  This is an ongoing shortfall.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Meetings have not been held according to schedule including RN/EN, quality, restraint, unit meetings, and department meetings.</w:t>
            </w:r>
          </w:p>
          <w:p w:rsidR="00EB7645" w:rsidRPr="00BE00C7" w:rsidP="00BE00C7">
            <w:pPr>
              <w:pStyle w:val="OutcomeDescription"/>
              <w:spacing w:before="120" w:after="120"/>
              <w:rPr>
                <w:rFonts w:cs="Arial"/>
                <w:b w:val="0"/>
                <w:lang w:eastAsia="en-NZ"/>
              </w:rPr>
            </w:pPr>
            <w:r w:rsidRPr="00BE00C7">
              <w:rPr>
                <w:rFonts w:cs="Arial"/>
                <w:b w:val="0"/>
                <w:lang w:eastAsia="en-NZ"/>
              </w:rPr>
              <w:t>ii) Meeting minutes do not consistently reflect discussions around trending and analysis of quality data or results of internal audits.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meetings are held according to schedule and reflect discussions around quality data, trending and analysis.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staff interviewed confirmed all adverse events are discussed at handovers; and describe the process around documentation.  However, clinical follow up is not well documented on the incident reports or in the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ten incident reports did not evidence RN follow-up following falls (including one unwitnessed fall) either documented in progress notes or incident report.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adverse events (especially falls) have clinical follow-up documented appropriately.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Education has occurred in 2019, a compulsory study day was held in October 2019; however, did not include all required education sessions.  The previous shortfall continues to require improvement.  There is no evidence of appraisals occurring in 2018, a catch-up programme was in place by management.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evidence of training sessions for abuse and neglect, falls, restraint, sexuality, pain and aging process.  (ii).  Five of six staff files reviewed did not have a current appraisal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required education sessions are held and included in the education planner.  (ii).  Ensure all staff have an appraisal completed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Temperatures for the rooms and fridges are recorded by the maintenance person and were within acceptable range in the hospital wing.  However, the rest home thermometer was not working on the day of the audit.  This was rectified at the time.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fridge thermometer on the rest home wing was not working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monitor the temperature of the medication fridges regularly.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were completed by the caregivers at least daily for the rest home resident and at the end of each shift for hospital residents, however, not all registered nurses were documented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gaps in RN progress notes for up to four days in two of three hospital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RNs are documenting progress notes in line with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care plans reviewed included information and instructions for caregivers to provide care for the residents.  The caregivers interviewed felt there was sufficient information in the care plans to guide them to provide care for the residents.  However not all interventions or risks were identified for the use of restraints.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short-term needs and had been reviewed and either resolved or transferred to the long-term care plans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three restraint files did not have risks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of three restraint files had no interventions around the use of restraint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care plans for restraint identify risks associated and contain interventions around usage and monitoring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Lister Home Incorporated - Lister Home</w:t>
    </w:r>
    <w:bookmarkEnd w:id="58"/>
    <w:r>
      <w:rPr>
        <w:rFonts w:cs="Arial"/>
        <w:sz w:val="16"/>
        <w:szCs w:val="20"/>
      </w:rPr>
      <w:tab/>
      <w:t xml:space="preserve">Date of Audit: </w:t>
    </w:r>
    <w:bookmarkStart w:id="59" w:name="AuditStartDate1"/>
    <w:r>
      <w:rPr>
        <w:rFonts w:cs="Arial"/>
        <w:sz w:val="16"/>
        <w:szCs w:val="20"/>
      </w:rPr>
      <w:t>21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