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Rita Angus Retirement Village Limited - Rita Angus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Rita Angus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Rita Angus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December 2019</w:t>
      </w:r>
      <w:bookmarkEnd w:id="7"/>
      <w:r w:rsidRPr="009418D4">
        <w:rPr>
          <w:rFonts w:cs="Arial"/>
        </w:rPr>
        <w:tab/>
        <w:t xml:space="preserve">End date: </w:t>
      </w:r>
      <w:bookmarkStart w:id="8" w:name="AuditEndDate"/>
      <w:r w:rsidR="00A4268A">
        <w:rPr>
          <w:rFonts w:cs="Arial"/>
        </w:rPr>
        <w:t>13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Rita Angus is part of the Ryman Group of retirement villages and aged care facilities.  The service provides rest home and hospital level of care for up to 89 residents.  On the days of the audit there were 70 residents including six residents receiving rest home level of care in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A village manager, who is supported by an assistant to the manager and a clinical manager are responsible for the daily operation of the service.  The management team is supported by a regional manager.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There were no areas for improvement at this audit. </w:t>
      </w:r>
    </w:p>
    <w:p w:rsidRPr="00A4268A">
      <w:pPr>
        <w:spacing w:before="240" w:line="276" w:lineRule="auto"/>
        <w:rPr>
          <w:rFonts w:eastAsia="Calibri"/>
        </w:rPr>
      </w:pPr>
      <w:r w:rsidRPr="00A4268A">
        <w:rPr>
          <w:rFonts w:eastAsia="Calibri"/>
        </w:rPr>
        <w:t xml:space="preserve">Areas of continuous improvements have been awarded around communication, food services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Ryman Rita Angus village provides care in a way that focuses on the individual resident’s quality of life.  Cultural assessments are undertaken on admission and during the review process.  Policies are being implemented to support individual rights, advocacy and informed consent.  Information about the Health and Disability Commissioner (HDC) Code of Health and Disability Services Consumers' Rights (the Code) is readily available to residents and families.  Care plans accommodated the choices of residents and/or their family.  Complaint processes were being implemented and complaints and concerns were managed appropriately.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Village objectives are documented for the service with evidence of regular reviews.  A comprehensive quality and risk management programme is in place.  Corrective actions are implemented and evaluated where opportunities for improvement are identified.  The risk management programme includes managing adverse events and health and safety processes.  Quality data is communicated to all staff through various facility meetings.  Annual resident/relative surveys are completed.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implemented for new staff.  Ongoing education and training include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an admission pack with information on the services provided.  The systems reviewed evidenced each stage of service provision was developed with resident and/or family input and coordinated to promote continuity of service delivery.  The residents and family interviewed confirmed their input into care planning development and review.  Residents' clinical files reviewed validated the service delivery to the residents.  Allied health professionals are involved in the resident’s care. </w:t>
      </w:r>
    </w:p>
    <w:p w:rsidRPr="00A4268A" w:rsidP="00621629">
      <w:pPr>
        <w:spacing w:before="240" w:line="276" w:lineRule="auto"/>
        <w:rPr>
          <w:rFonts w:eastAsia="Calibri"/>
        </w:rPr>
      </w:pPr>
      <w:r w:rsidRPr="00A4268A">
        <w:rPr>
          <w:rFonts w:eastAsia="Calibri"/>
        </w:rPr>
        <w:t>Planned activities were appropriate to the group setting.  The residents and family interviewed confirmed satisfaction with the activities programme.  The residents' files evidenced individual activities were provided either within group settings or on a one-on-one basis.</w:t>
      </w:r>
    </w:p>
    <w:p w:rsidRPr="00A4268A" w:rsidP="00621629">
      <w:pPr>
        <w:spacing w:before="240" w:line="276" w:lineRule="auto"/>
        <w:rPr>
          <w:rFonts w:eastAsia="Calibri"/>
        </w:rPr>
      </w:pPr>
      <w:r w:rsidRPr="00A4268A">
        <w:rPr>
          <w:rFonts w:eastAsia="Calibri"/>
        </w:rPr>
        <w:t xml:space="preserve">There was an appropriate medicine management system in place.  Staff responsible for medicine management attended medication management in-service education and have current medication competencies.  The general practitioner reviews the medication charts at least three monthly. </w:t>
      </w:r>
    </w:p>
    <w:p w:rsidRPr="00A4268A" w:rsidP="00621629">
      <w:pPr>
        <w:spacing w:before="240" w:line="276" w:lineRule="auto"/>
        <w:rPr>
          <w:rFonts w:eastAsia="Calibri"/>
        </w:rPr>
      </w:pPr>
      <w:r w:rsidRPr="00A4268A">
        <w:rPr>
          <w:rFonts w:eastAsia="Calibri"/>
        </w:rPr>
        <w:t>All meals and baking are done on site by qualified chefs.  The menu provides choices and accommodates resident preferences and dislikes.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 site at all times.  Housekeeping staff maintain a clean and tidy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restraint officer and restraint committee assess, review and monitor use of restraints and enablers.  The service currently has one resident with the use of enablers and five residents with a restraint.  The restraint coordinator maintains a restraint register.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is responsible for coordinating/providing education and training for staff.  The infection control officer has completed on-line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There are internal audits of the facility including hand hygiene.  Surveillance of infection control events and infections are discussed at facility meetings.  The service engages in benchmarking with other Ryman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00"/>
        <w:gridCol w:w="1280"/>
        <w:gridCol w:w="92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policies and procedures that adhere with the requirements of the Code of Health and Disability Services Consumer Rights.  Families and residents are provided with information on admission, which includes the Code of Rights.  Staff receive training about resident rights at orientation and complete an annual staff comprehension survey that includes resident rights.  Interviews with eight caregivers (seven rest home/hospital and one from the serviced apartments) demonstrated an understanding of the Code of Rights principles.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were signed as part of the admission.  Specific consent had been signed by resident/relatives for specific procedures/treatments.  Discussions with staff confirmed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files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for healthcare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Discussion with family members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part of the service entry package and is on display on noticeboards around the facility.  The right to have an advocate is discussed with residents and their family/whānau during the entry process and relative or nominated advocate is documented in the resident file.  Relatives and friends are encouraged to be involved with the service and care.  Discussions with relatives confirmed the service provided opportunities for the family/EPOA to be involved in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visiting arrangements that are suitable to residents and family/whānau.  Families and friends are able to visit at times that meet their needs.  Residents are supported to access the community as required and the service maintains key linkages with other community organisations and external groups.  Activities programmes included opportunities to attend events outside of the facility including activities of daily living, for example, shopping.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throughout the facility.  Information about complaints is provided on admission.  Interviews with all residents and family members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two managers (village manager, clinical manager) and care staff confirmed their understanding of the complaints process.  The village manager is the privacy officer and investigates all verbal and written complaints in consultation with the clinical manager as required.  An on-line complaints’ register includes written and verbal complaints, dates and actions taken.  In 2018, there were three complaints lodged and for 2019 to date there have been eight complaints lodged (three verbal and five written).  All internal complaints were managed in an appropriate and timely manner and were signed off by the village manager as resolved.  There have been no DHB or HDC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the Code of Rights and information on how to make a complaint.  On entry to the service, the village manager or the clinical manager will discuss the information pack with the resident and their family/whānau.  Advocacy brochures and Code of Rights posters are displayed on each floor.  Resident rights and advocacy are brought to the attention of residents and families on admission and at resident meetings, relatives’ meetings and the information pack.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six residents (three rest home and three hospital) and four relatives of hospital level residents identified they were aware of their rights and could approach the managers at any time if they have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interviewed (eight caregivers, one-unit coordinator and three registered nurses) demonstrated an understanding of privacy.  During the audit, staff were observed to be knocking on doors and gaining permission prior to entering resident private areas.  Residents and family members interviewed confirmed that staff promote resident independence wherever possible and that resident choice is encouraged.  Resident values and beliefs information is gathered on admission with family involvement and is integrated into the residents' care plans.  Care plans reviewed identified specific individual likes and dislikes.  This includes cultural, religious, social and ethnic needs.  Interviews with caregivers identified how they get to know resident values, beliefs and cultural differences.  There is an abuse and neglect policy that is implemented, and staff are required to complete abuse and neglect training every two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identify as Māori have their cultural values identified on admission as evidenced on the day of audit.  Cultural needs were addressed in the myRyman care plan.  Family/whānau involvement is encouraged in assessment and care planning around cultural values and beliefs.  Staff receive cultural awareness training.  Links are established with a local iwi representative of Ngati Toarangitira.  Other community representative groups are accessed as requested by the resident/family.  A senior staff member is the liaison contact person.  On the day of audit there was one Māori resident who did not identify with Māori culture.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cultural needs/requirements, spiritual values and beliefs are identified on admission.  Values and beliefs information is integrated into the residents' myRyman care plans.  Residents and family members interviewed confirmed that the values and beliefs of residents are considered.  Staff recognise and respond to values, beliefs and cultural differences.  A chapel at the service holds regular church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employment policies/procedures include rules around receiving gifts, confidentiality and staff expectations.  Job descriptions include responsibilities of the position, ethics, advocacy and legal issues.  The orientation and employee agreement provided to staff on induction includes signing of the house rules and code of conduct.  Interviews with the managers, registered nurses and caregivers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Services are provided at Ryman Rita Angus that adhere to the health &amp; disability services standards.  The Ryman accreditation programme known as teamRyman sets out a quality improvement programme that is being implemented and includes performance monitoring, internal audits, education and annual surveys.  The service has focused on areas from the 2018 survey where there was an improvement required.  Quality improvement plans were implemented around activities, food services, care and communication with positive outcomes.  Residents and relatives interviewed were positive about the care they receive.  Primary nursing has been 99% implemented with the aim of providing residents with a high standard of individualised care.  There is a journal club for registered nurses (RN) and enrolled nurses (EN) held in conjunction with the RN/EN meetings with the purpose of maintaining best clinical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are not covered by the agreement.  The information pack is available in large print and is read to residents who are visually impaired.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confirmed on interview they had been kept informed on the resident’s condition and any changes to health.  There was evidence of relative correspondence in the resident files.  Eighteen accident/incident events logged into the individual resident files evidenced timely relative notification.  Regular resident and family meetings provide a forum for residents to discuss issues or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opportunity to improve communication between staff, residents and relatives following the 2018 survey results and as a result the service implemented a quality improvement plan.  Regular contact and open communication have been maintained with an improvement in residents/relative satisfaction around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for residents who are unable to speak or understand English.  Family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Rita Angus is a Ryman healthcare retirement village located in Wellington.  The care centre is certified to provide rest home and hospital care (geriatric and medical) for up to 69 residents in the care centre and rest home level care across 20 serviced apartments.  There are 40 dedicated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64 residents in the care centre (16 rest home, 48 hospital) and six rest home level residents in the serviced apartments.  There were three respite care residents (one rest home and two hospital) on the day of audit.  All other residents were under the ARC.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an overarching business plan that includes the organisational values and philosophy of care.  Rita Angus has village objectives that are reviewed quarterly and document progress against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employed at Rita Angus since May 2019.  He has a management background in hospitality and catering services (including aged care contracts).  The village manager completed a six-week induction on employment, attended the Ryman three-day village manager conference (May 2019) and one day manager training day (November 2019).  An assistant to the manager was appointed July 2019 and has had previous administration experience with another Ryman facility.  The clinical manager has had 10 years’ experience as an RN/unit coordinator prior to being appointed as the clinical manager in July 2018.  The clinical manager has completed at least eight hours of clinical management training/education including leadership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rebuilding its management team with the support of the regional manager who visits fortnightly and was present throughout the audit.  Notification to MOH for change in managers were sighted for the clinical manager and village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policy outlines manager availability including on-call requirements.  During a temporary absence, the assistant to the manager and clinical manager will cover the manager’s role.  The regional manager provides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Rita Angus has a well-established quality and risk management system that is directed by Ryman Christchurch.  Quality and risk performance is reported across the facility meetings (full facility, infection control committee, health and safety and clinical team) and to the organisation's management team.  Discussions with the management team and staff, and review of management and staff meeting minutes reflect their involvement in quality and risk activities including a review of village objectives.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reviewed at an organisational level in consultation with the relevant persons.  These documents have been developed in line with current accepted best and/or evidenced-based practice.  Staff are informed of any changes and there are current policies available on the Ryman library (intranet).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surveys are implemented February each year and benchmarked against other Ryman facilities.  Survey results and quality improvement plans are discussed with residents, relatives and staff.  The service has demonstrated a continued improvement in food services (link CI 1.3.13) and activities (link CI 1.3.7) and communication (CI link 1.1.9.1).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 facility has implemented processes to collect, analyse and evaluate data, for example infections, accidents/incidents, restraint and internal audits, which is utilised for service improvements.  Results, trends and analysis of data are communicated to staff across a variety of meetings and reflect actions being implemented and signed off when completed.  Corrective actions are implemented and signed off where internal audit results reflect less than 95% compliance.  Re-audits are completed where required.  In addition, quality improvement projects (QIPs) are implemented where opportunities for improvement are identified with several examples provided including reducing bruises, pressure injuries and reducing falls in the hospital area.  QIPs are signed off by the village manager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via the monthly health and safety meetings.  The health and safety officer/fire officer (interviewed) has completed NZQA health and safety units in September 2019.  The village manager is registered to attend external health and safety training February 2020.  Risk management, hazard control and emergency policies and procedures are in place.  The service documents and analyses incidents/accidents, unplanned or untoward events and provides feedback to the service and staff so that improvements are made.  The data is tabled at health and safety staff and management meetings.  The health and safety fire officer has allocated time to complete health and safety responsibilities including hazard reviews and checks, fire drills, staff health and safety inductions and training.  There is a current hazard register available to all staff.  A health and safety noticeboard (sighted) keeps staff informed on health and safety matters and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Interventions include intentional rounding, perimeter mattresses, sensor mats, clear transfer and mobilisation guides and involving the physiotherapist to complete mobility assessments for residents identified at risk of falls and GP and medication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falls.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incident/accidents forms reviewed relating to falls (witnessed and unwitnessed) identified that all are fully completed and include follow-up by a registered nurse.  Neurological observations had been completed where required for suspected or obvious knocks to the head.  The clinical manager is involved in the adverse event process, with links to the applicable facility meetings.  Data is collated, trended and linked to the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were able to identify situations that would be reported to statutory authorities with examples provided.  There have been four section 31 notifications since the previous audit.  Two were for missing residents (August and September 2019) and two residents with suspected deep tissue pressure injuries in November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Eleven staff files reviewed (one hospital unit coordinator, assistant to the manager, two RNs, three caregivers, one activities/health and safety, head chef, maintenance and laundry person) provided evidence of the employment process including interviewing, police vetting and reference checks.  All eleven files contained signed employment contracts, job descriptions, evidence of completed orientation programmes, three- and six-month assessments and annual performance appraisals.  A register of RN and EN practising certificates and of allied health professionals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training programme exceeds eight hours annually.  There is an attendance register for each training session and an individualised electronic staff record of training.  A quality improvement plan is in place to follow up staff who do not attend the on-site in-service by providing several small group sessions and ensuring all staff complete the annual comprehension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are supported to maintain their professional competency.  The RN journal club is held following the RN meetings.  Eight of fourteen RNs (including the clinical manager) have completed their interRAI training.  There are implemented competencies for RNs and caregivers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in the process of becoming a Careerforce observer.  An external verifier completes the marking of Careerforce papers.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a full-time clinical manager/RN and village manager, there is a serviced apartment unit coordinator (registered nurse), rest home coordinator and a hospital coordinator (RN).  The oncall is shared between the clinical manager and hospital coordinator for clinical matters.  The village manager is on call for non-clinical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unit has 50 beds in two 25 bed wings.  On the day of audit there were 48 hospital level residents including two for respite care.  There are two RNs on the morning and afternoon shifts.  The senior RN covers the rest home and serviced apartment on afternoons.  There is one RN on night shift to cover the facility.  There are four caregivers on the full shift and six caregivers on the short shift until 1 pm.  Care staff are allocated to the wing’s dependant on occupancy and acuity.  Care staff interviewed stated there are sufficient staff numbers to carry out the level of care required.  There are three caregivers on night shift.  The team are supported by an activity person seven days a week, fluids assistant (9.30 am - 1 pm) and a lounge carer from 4 pm – 8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wing of 19 beds, there were 16 rest home residents including one resident for respite care.  There is a RN/coordinator seven morning shifts a week.  There are two caregivers on the morning shift and afternoon shift (one full shift and one short shift) and two caregivers on night shift.  There is an activity person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 is staffed with a unit coordinator/RN (five days a week) and a senior carer, two days a week.  Two carers are on the morning shift (one long and one short-shift) plus a dining assistant 9.30 am to 1.30 pm.  There are two carers (one full shift and one short shift) and a dining assistant (4.30 pm - 8.30 pm).  There is an activity person five days a week.  The caregiver in the rest home covers the serviced apartments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were dated and included the relevant care assistant or registered nurse including designation.  Individual resident electronic files demonstrated service integration.  All electronic data and residents’ files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Admission information packs on the services are provided for families and residents prior to admission or on entry to the service.  All resident files reviewed had signed admission agreements that aligned with contractual requirements.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appropriate communication between families and other providers in the residents’ files that demonstrated transition, exit, discharge or transfer plans were communicated, when required.  Transition, exit, discharge, or transfer form/letters/plan were located in residents' files, where this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RNs and the medication competent senior carers and the back of the blister pack is signed and dated.  Any errors are fed back to the pharmacy.  Registered nurses, enrolled nurses and medication competent caregivers who administer medications have been assessed for competency.  Education around safe medication administration has been provided annually.  The service uses an electronic medication system.  Medication fridges are monitored weekly.  Medication room temperatures are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eye drops and creams in medication trolleys were dated on opening.  There are regular checks of all medication expiry dates and oxygen cylinders.  There was one rest home resident self-medicating on the day of audit and this resident had a medication competency on file and the medication is securely locked away in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Eighteen medication charts were reviewed.  All medication charts had photographs,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and the progress notes.  The GP receives INR results for residents on warfarin and the GP prescribes the dose directly into the electronic medication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head chef, second chef, cook, two cook’s assistants and four dish washers.  Staff have been trained in food safety and chemical safety.  The service has a food control plan that expires 9 May 2020.  All meals and baking are prepared and cooked on site.  The seasonal menu has been designed in consultation with the dietitian at an organisational level.  Project “delicious” has been implemented since February 2017.  Meals are plated in the kitchen and delivered in hot boxes to each unit satellite kitchen.  The chef receives a resident dietary profile for all new admissions and is notified of any dietary changes.  Cultural, religious and food allergies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and re-heating temperatures are taken and recorded twice daily.  The chilled goods temperature is checked on delivery.  All foods were date labelled and decanted goods are checked for expiry dates three monthly.  A cleaning schedule is maintained for the cook and kitchenhands.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resident survey and direct contact with the food services staff.  Residents and relatives interviewed spoke positively about the choices and meals provided.  Survey results demonstrated an increase in resident satisfaction around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reasons for declining entry to Ryman Rita Angus would be if the service is unable to provide the level of care required or there are no beds available.  Management communicate directly with the referring agencies and family/whānau as appropriate if entry was declined.  They endeavour to make suggestions for alternative options that the prospective resident can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initial assessment on admission including relevant risk assessment tools.  Risk assessments are completed six-monthly or earlier due to health changes.  InterRAI assessments were completed within the required timeframes.  The outcomes of assessments are used to form the basis of the myRyman care plans.  Other available information such as discharge summaries, medical and allied health notes and consultation with resident/relative or significant others are included in the long-term care plans.  The respite file reviewed contained initial assessments and risk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individualised on the myRyman system, which were accessible from tablets in the resident rooms.  The long-term care plans reviewed reflected the resident’s current health status.  The care plans identify resident goals.  There was evidence of allied health care professionals involved in the care of the resident including physiotherapist, podiatrist, dietitian, older persons health, geriatrician, and wound care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staff reported they received adequate information for continuity of residents’ care.  The residents had input into their care planning and review, confirmed at resident and family interviews and on file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nursing review and if required, GP, nurse specialist consultation.  There is documented evidence in the electronic progress notes in each resident file that evidences family were notified of any changes to their relative’s health including (but not limited to) accident/incidents, behaviours, infections, health professional visits, referrals and changes in medications.  Discussions with families confirmed they are notified of any changes to their relative’s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forms, ongoing evaluation form and evaluation notes were in place for residents with wounds and recorded on the electronic system.  There were two residents with three unstageable resolving pressure injuries.  Section 31 had been completed for each of these pressure injuries.  The facility has an RN/wound champion who reviews wounds at least weekly and on request.  There is access to a wound nurse specialist as required, the wound care specialist had provided input for a number of the wounds that were reviewed.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available on the electronic system include weight, vital signs, behaviour monitoring and assessment, pain, neurological observations and blood glucose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employed five days per week to coordinate and implement the Engage programme.  The programme is Monday to Friday in the rest home and Monday to Sunday in the hospital.  Additional staff that provide activities include lounge carers who work from 4.00 pm - 8.00 pm seven days a week; and a van driver, who is a first aid trained caregiver with medication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to add activities that are meaningful and relevant for the resident group including (but not limited to); Triple A exercises, news and views, baking, men’s group, themed events and celebrations.  Rest home residents in serviced apartments can attend either the serviced apartment or rest home/hospital programmes.  Some activities are integrated for all residents including entertainment, church services and other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regular entertainers, church visitors, pre-school children, high school students and the SPCA.  There are weekly outings and scenic drives for rest home and hospital residents.  A dedicated driver from a taxi company is utilised one day per week for outings for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Music includes entertainers, singing groups and sing-along sessions.  The men’s group has increased its membership and invites men from all the village, serviced apartments and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experiences and activity assessments are completed for residents on admission.  The paper-based activity plan in the files reviewed had been evaluated at least six-monthly with the care plan review.  The resident/family/whānau (as appropriate) are involved in the development of the activity plan.  Residents/relatives can feedback on the programme through the monthly resident meetings in each unit and relative meetings and satisfaction surveys.  Residents/relative interviewed were very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electronic files evidenced the residents' care plans had been evaluated six monthly or more often when the resident condition changed.  There was evidence of multidisciplinary (MDT) input in care plan evaluations against the resident goals.  The MDT review includes input from the RN/primary caregiver/physiotherapist/DT, GP and resident as appropriate.  The family are invited to attend and are informed of changes as evidenced in the correspondence file in the electronic resident record.  The care plans had been updated to reflect any changes in care.  Residents and family confirmed their participation in care plan evaluations.  The GP reviews the residents at least three monthly or earlier as required.  Regular GP reviews occurred as sighted in current GP progress reports.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where a resident’s condition had changed, that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staff in waste management.  Staff interviewed were aware of practices outlined in relevant policy.  Gloves, aprons, and goggles are available for staff in the laundry and sluice rooms.  Infection control policies state specific tasks and duties for which protective equipment is to be worn.  Chemicals are labelled correctly and stored safely throughout the facility.  Safety datasheets are available.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12 September 2020.  Rita Angus Retirement Village is a three-level building with the rest home and hospital on the second level.  The ground and first level of the building include common areas and serviced apartments.  There are 20 potential rest home beds included in the serviced apartments which are located on the ground and first level.  There is a nurses’ station within each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full-time and two part-time maintenance people who work on site.  Daily maintenance requests are addressed and signed off (sighted).  There is a 12-monthly planned maintenance schedule in place, which includes the calibration of medical equipment and functional testing of electric beds and hoists.  All electrical equipment has been tested and tagged annually.  Hot water temperatures are monitored and recorded monthly with temperature recordings being within the required temperature limits.  Contractors are available 24/7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Environmental improvements include upgrading the atrium with re-tiling and removal of one of the ponds to create more space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space for residents to mobilise using mobility aids.  There is adequate space around the facility for storage of mobility equipment.  Rest home and hospital residents have access to the atrium and the communal grounds and gardens, which are well maintained.  The service employs grounds and garden staff who maintain the external areas.  Residents were able to access the outdoor gardens and courtyards safely.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enough equipment to safely deliver the cares as outlined in the resident care plans including sensor mats, standing and lifting hoists, hospital lounge chairs, mobility aids, transferring equipment and pressure relieving mattresses and cushions and weigh scales.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Resident rooms have ensuites and there are communal toilets located near communal areas.  Communal toilets have privacy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spacious enough to allow care to be provided safely and for the safe use and manoeuvring of hoists in dual purpose rooms.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rest home and hospital units have a large dining room and kitchenette.  There are large lounges on each level, a family/whānau room in the rest home and a second lounge in the hospital.  A chapel is available on the ground floor.  A large lounge is available for communal use in the village centre which is used by rest home and hospital residents and is often used to host functions and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including the hair salon and café internal courtyards are easily accessible.  Some rest home resident rooms in the serviced apartment area open out onto the atrium.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Ryman group has documented systems for monitoring the effectiveness and compliance with the service policies and procedures.  Laundry and cleaning audits are completed as per the internal audit programme.  The chemical provider conducts monthly quality control checks on the equipment and efficiency of chemicals in the laundry and housekeeping areas.  There are designated laundry staff who operate the laundry from 8.00 am to 10.00 pm daily.  All linen and personal clothing is laundered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persons on duty each day.  Cleaners’ trolleys (sighted) were well equipped and stored in locked cupboards when not in use.  All chemical bottles have the correct manufacturer’s labels.  Cleaners carry chemicals in caddies into the resident’s room for cleaning.  The auditor noted on the days of the audit that the facility was clean and well presented.  Other feedback is received through resident meetings, annual surveys (resident and relative) and the results of internal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in place to guide staff in managing emergencies and disasters.  Emergency management and six-monthly fire evacuation drills are included in the mandatory in-service programme.  The service has an evacuation plan approved by the fire service.  There are adequate supplies of civil defence equipment held on each floor which is regularly checked.  There is at least three days’ supply of food with electric, gas cooking and barbeques available.  A generator on site provides emergency power.  There are water tanks in the care centre, bottled water and ceiling tanks in the apartments to meet the current requirements for water storage in the region.  There is a first aid trained staff member on every shift.  </w:t>
            </w:r>
          </w:p>
          <w:p w:rsidR="00EB7645" w:rsidRPr="00BE00C7" w:rsidP="00BE00C7">
            <w:pPr>
              <w:pStyle w:val="OutcomeDescription"/>
              <w:spacing w:before="120" w:after="120"/>
              <w:rPr>
                <w:rFonts w:cs="Arial"/>
                <w:b w:val="0"/>
                <w:lang w:eastAsia="en-NZ"/>
              </w:rPr>
            </w:pPr>
            <w:r w:rsidRPr="00BE00C7">
              <w:rPr>
                <w:rFonts w:cs="Arial"/>
                <w:b w:val="0"/>
                <w:lang w:eastAsia="en-NZ"/>
              </w:rPr>
              <w:t>Call bells are evident in resident’s rooms, ensuites and all communal areas.  There are internal and external security cameras.  The facility is secure after hours.  A security firm conducts security rounds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radiator heating in resident rooms with individual thermostat controls.  There are ceiling heaters in residents’ bathrooms.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clinical manager is the infection control officer and oversees infection control for the service.  The infection control officer has a job description that outlines the responsibilities of the role.  The infection prevention and control officer meet regularly (at regional clinical manager meetings) with the infection control specialist at head office.  The management and facility meetings include a discussion of infection prevention and control matters.  The programme is reviewed annually from head office and directed via the RAP annual calendar.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requested not to visit if they have been unwell.  There are hand sanitisers placed throughout the facility and a plentiful supply of personal protective clothing.  Residents and staff are offered the influenza vaccine.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is made up of a cross-section of staff from areas of the service and meet two monthly.  The infection control officer was appointed to the role in July 2018 and completed induction to the role and on-line infection control modules.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has access to an infection prevention and control consultant, infection control nurse specialist from the DHB, public health, GPs, local laboratory and expertise from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developed by an infection control consultant.  Policies reflect the Infection Prevention and Control Standard SNZ HB 8134:2008, legislation and good practice.  The infection prevention and control policies link to other documentation and cross reference where appropriate.  Policies are available in hard copy and on the Ryman intranet (library).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is responsible for coordinating/providing education and training to staff as set by the Ryman training calendar.  Other tropical education around infection control is coordinated by the infection control officer.  The orientation/induction package includes specific training around hand washing and standard precautions.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for all infections and alerts the infection control officer.  Infections are included on an electronic register and the infection officer completes a monthly report.  Monthly data, trends, analysis and corrective action plans are reported to the weekly management, infection prevention and control committee meetings and facility meetings.  Data and graphs are displayed for staff.  The infection prevention and control programme links with the quality programme.  The outcomes of infection internal audits are discussed at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close liaison with the GPs and laboratory service that advise and provide feedback and 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where other de-escalation strategies have been ineffective.  The policies and procedures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hospital residents with restraint (four bedrails and one chair brief) and one hospital resident with an enabler (bedrail) during the audit.  The resident file for the one enabler (bedrails) was reviewed and three restraint files (two bedrails and one chair brief) were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Voluntary consent and an assessment process had been completed for the resident with an enabler and the enabler is linked to the resident’s care plan and reviewed six monthly as part of the care plan evaluation.  Enabler checks are scheduled and signed off in the myRyman.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officer is the hospital unit coordinator with a job description that defines the role and responsibility of the restraint officer.  The restraint officer completed induction to the role when appointed February 2019 and had previously attended education around restraint minimisation with the Health and Safety, Quality Commission in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identifies the indications for restraint use, consent process, duration of restraint and monitoring requirements.  The restraint committee meet six monthly to review policies and all residents on current restraints.  Staff training is in place around restraint minimisation and enablers and management of challenging behaviours.  Staff complete annual restraint competencies.  Restraint use and enablers are discussed at management and clinical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primary RN in partnership with the restraint officer, GP, approval group,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was evident in the files reviewed.  Completed assessments considered those factors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officer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and family and the restraint officer/approval group.  The use of restraint and risks identified with the use of restraint was linked to the three resident care plans reviewed.  Internal audits conducted, measure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  The restraint officer provides a monthly report on restraint use to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six monthly as part of the ongoing reassessment for the residents on the restraint register, and as part of the care plan evaluation.  Families are included in the review of restraint use.  Files reviewed for residents with restraint use evidenced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six-monthly restraint committee meetings.  Meeting minutes included (but are not limited to) a review of the residents using restraints or enablers, any updates to the restraint programme, staff education and training and review of any accidents/incidents.  Each episode of restraint is monitored at pre-determined intervals depending on individual risk to that resident.  Monitoring is documented on a specific restraint monitoring form at the required intervals and documents cares provided during the episode of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535"/>
        <w:gridCol w:w="82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resident/relative survey showed a decrease in satisfaction around communication.  The service implemented a quality improvement plan to address communication concerns which resulted in a significant increase in resident/relative satisfaction for the 2019 survey.  Improved communication has been maintained and evidenced in resident/relative interviews on the day of audit meeting minutes and 2019 survey results.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a quality improvement plan to improve resident/relative satisfaction with communication from staff regarding their care.  The plan included introducing primary RN nurses who were responsible for communication with residents under their care and with the relatives, involving residents and family members in care plans and review of care, GP visits and allied health appointments.  The village manager and clinical manager operate an open-door policy and are visible and accessible to residents and families.  The village manager facilitates the separate rest home and hospital resident meetings.  Meeting minutes sighted documented discussion and consultation around all areas of the service including survey results and action plans.  There are bi-monthly separate family meetings for rest home and hospital relatives.  Survey results and action plans around activities, communication and food services had been discussed.  Relatives were invited to sample a selection of meals from the project delicious menu at a recent meeting.  Relatives receive a monthly newsletter and are kept informed on other matters by memos.  The service has also focused on communication for residents with sensory loss with the use of whiteboards and pictorials.  Staff who speak the same language as residents with English as a second language acted as interpreters to communicate care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successful in increasing resident/relative satisfaction around communication.  The February 2018 result for communication was 3.78 and for February 2019 the result had increased to 4.33.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Rita Angus Retirement Village implemented a project to improve resident’s dining experience and satisfaction with food.  Resident and relative satisfaction has improved around the variety and choice of meals offered, temperature of meals and improved quality of modified/textured meals.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was implemented in February 2017.  The four-week rotating project delicious menu offers a variety of choices including three main dishes for the midday and two choices for evening meal including a vegetarian option.  Gluten free meals are offered on the menu.  The food survey for February 2018 was 3.11, this showed that the satisfaction with meals and food had decreased, the service identified a further improvement was required due to feedback and complaints received around meal choices and food quality.  An action plan was implemented to improve residents dining experience and satisfaction with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actions included: liaising with the hospitality manager regarding meal options; chefs commenced rotating through the dining rooms serving the meals; chefs talked with residents on a weekly basis; the kitchen manager met with residents to review their individual dietary requirements and swapped the more unpopular food items with resident preferences; work was undertaken with suppliers to improve raw supply quality; education for staff in food handling, presentation and project delicious occurred; more explanation was provided with the menu including a glossary of terms; the quality of pureed meals was improved with foods being sourced from Pure Foods that were more nutritional; relatives were invited to sample menu items; additional time was allocated to the hospital fluids assistant person to assist residents to fill in their weekly menu; staff education included safe food handling; dining etiquette; nutrition and hydration. </w:t>
            </w:r>
          </w:p>
          <w:p w:rsidR="00EB7645" w:rsidRPr="00BE00C7" w:rsidP="00BE00C7">
            <w:pPr>
              <w:pStyle w:val="OutcomeDescription"/>
              <w:spacing w:before="120" w:after="120"/>
              <w:rPr>
                <w:rFonts w:cs="Arial"/>
                <w:b w:val="0"/>
                <w:lang w:eastAsia="en-NZ"/>
              </w:rPr>
            </w:pPr>
            <w:r w:rsidRPr="00BE00C7">
              <w:rPr>
                <w:rFonts w:cs="Arial"/>
                <w:b w:val="0"/>
                <w:lang w:eastAsia="en-NZ"/>
              </w:rPr>
              <w:t>The February 2019 resident’s satisfaction survey showed the satisfaction rating was now 3.56, an improvement.  Residents and relatives gave positive feedback about the food on the day of the audit.  A communication book was viewed that gave residents the opportunity to express their preferences.  There had been no reports of recent complaints about food.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survey in February 2018 had shown a decrease in resident satisfaction and the facility wished to increase resident satisfaction with the Engage programme. As a result of the survey.  The service identified a need for more men’s activities and the men’s club was implemented as an initiative to improve men’s satisfaction and enjoyment with the Engage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men’s club was implemented on a fortnightly basis.  The Care Centre Men’s Club includes residents from the hospital and rest home.  In addition, there is a villages men’s club with residents attending from the independent and serviced apartments.  Men enjoy the socialisation that this group provides.  They will often talk about their experiences, hobbies or war time involvement.  Flyers are sent and men are advised of the theme and topic.  Guest speakers are arranged, and Christmas festivities activities were also planned.  The men from the apartments have chosen to join with the men from the care centre and socialise and visit the men in the care centre.  The group has become popular with increased numbers attending so the venue was changed to the serviced apartments which allowed for other activities to occur in the care centre and the men could enjoy their activities for a longer time.  The outcome for the men’s group has been an activity that has proved popular with increased socialisation.  Activities are scheduled for an hour and men are noted to stay longer so they can enjoy the socialisation that the group provides.  On the day of the audit the men’s group activities were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an increase in resident satisfaction with the activities offered from 3.33 in February 2018 to 3.68 in February 2019.  Residents and relatives interviewed were very satisfied with the activity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Rita Angus Retirement Village Limited - Rita Angus Retirement Village</w:t>
    </w:r>
    <w:bookmarkEnd w:id="58"/>
    <w:r>
      <w:rPr>
        <w:rFonts w:cs="Arial"/>
        <w:sz w:val="16"/>
        <w:szCs w:val="20"/>
      </w:rPr>
      <w:tab/>
      <w:t xml:space="preserve">Date of Audit: </w:t>
    </w:r>
    <w:bookmarkStart w:id="59" w:name="AuditStartDate1"/>
    <w:r>
      <w:rPr>
        <w:rFonts w:cs="Arial"/>
        <w:sz w:val="16"/>
        <w:szCs w:val="20"/>
      </w:rPr>
      <w:t>12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