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Sodhi Enterprises Limited - Coronation Lodge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Sodhi Enterprises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Coronation Lodge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December 2019</w:t>
      </w:r>
      <w:bookmarkEnd w:id="7"/>
      <w:r w:rsidRPr="009418D4">
        <w:rPr>
          <w:rFonts w:cs="Arial"/>
        </w:rPr>
        <w:tab/>
        <w:t xml:space="preserve">End date: </w:t>
      </w:r>
      <w:bookmarkStart w:id="8" w:name="AuditEndDate"/>
      <w:r w:rsidR="00A4268A">
        <w:rPr>
          <w:rFonts w:cs="Arial"/>
        </w:rPr>
        <w:t>9 December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Coronation Lodge has been operating under new management for 10 months.  Coronation Lodge Rest Home provides rest home level care for up to 22 residents.  On the day of the audit there were 19 residents residing at the facility.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existing policies and procedures, the review of resident and staff files, observations and interviews with residents, family members, staff, management and general practitioner.  </w:t>
      </w:r>
    </w:p>
    <w:p w:rsidRPr="00A4268A">
      <w:pPr>
        <w:spacing w:before="240" w:line="276" w:lineRule="auto"/>
        <w:rPr>
          <w:rFonts w:eastAsia="Calibri"/>
        </w:rPr>
      </w:pPr>
      <w:r w:rsidRPr="00A4268A">
        <w:rPr>
          <w:rFonts w:eastAsia="Calibri"/>
        </w:rPr>
        <w:t xml:space="preserve">The facility manager/owner has held previous business management roles.  The clinical nurse manager/owner was previously a clinical nurse specialist in rehabilitation for the older person.  The managers are supported by a long-serving team.  Residents and family interviewed were complimentary of the service they receive.  </w:t>
      </w:r>
    </w:p>
    <w:p w:rsidRPr="00A4268A">
      <w:pPr>
        <w:spacing w:before="240" w:line="276" w:lineRule="auto"/>
        <w:rPr>
          <w:rFonts w:eastAsia="Calibri"/>
        </w:rPr>
      </w:pPr>
      <w:r w:rsidRPr="00A4268A">
        <w:rPr>
          <w:rFonts w:eastAsia="Calibri"/>
        </w:rPr>
        <w:t xml:space="preserve">This certification audit identified improvements around staff references and care plan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Coronation Lodge provides care in a way that focuses on the individual resident.  Cultural and spiritual assessment is undertaken on admission and during the review processes.  Information about services provided is readily available to residents and families/whānau.  The Health and Disability Commissioner Code of Health and Disability Services Consumers' Rights (the Code) brochures are accessible to residents and their families.  There is a policy to support individual rights.  Care plans accommodate the choices of residents and/or their family.  Complaints processes are implemented and managed in line with the Code.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plan and quality and risk policies describe Coronation Lodge’s quality improvement processes.  Policies and procedures are maintained by an external aged care consultant who ensures they align with current good practice.  Quality data is collated for infections, accident/incidents, concerns and complaints, internal audits and surveys.  Quality data is discussed at meetings and is documented in minutes.  Adverse, unplanned and untoward events are documented by staff.  There is an implemented health and safety programme.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nurse manager is responsible for managing entry to the service.  Service information is available to potential residents and families.  Initial assessments, interRAI assessments, care plans and evaluations are completed by the clinical nurse manager within the required timeframes.  Residents interviewed confirmed that they are involved in the care planning and review process.  Resident files include allied health professional involvement.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interesting with a focus on community involvement and maintaining residents’ past and present interests.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The RNs and senior caregiver’s complete medication competencies and medication education.  The general practitioner reviews the medication charts at least three monthly. </w:t>
      </w:r>
    </w:p>
    <w:p w:rsidRPr="00A4268A" w:rsidP="00621629">
      <w:pPr>
        <w:spacing w:before="240" w:line="276" w:lineRule="auto"/>
        <w:rPr>
          <w:rFonts w:eastAsia="Calibri"/>
        </w:rPr>
      </w:pPr>
      <w:r w:rsidRPr="00A4268A">
        <w:rPr>
          <w:rFonts w:eastAsia="Calibri"/>
        </w:rPr>
        <w:t xml:space="preserve">Meals are prepared on site.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There is one double room and all others are single.  All rooms have handbasins and there are communal toilets/showers.  The environment is warm and comfortable.  There is adequate room for residents to move freely about the home using mobility aids.  Communal areas are well utilised for group and individual activity.  The dining room and lounge seating placement encourages social interaction.  Other outdoor areas are safe and accessible for the rest home residents.  There is adequate equipment for the safe delivery of care.  All equipment is well maintained and on a planned schedule.  All chemicals are stored safely.  The staff maintain a tidy and clean environment.  Systems and supplies are in place for essential, emergency and security services.  There is a civil defence kit and evidence of supplies in the event of an emergency in line with civil defence guidelines.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approved restraints and enabler.  Staff receive regular education and training on restraint minimisation.  Restraint use is discussed at staff meetings.  Internal audits monitor safe restraint use and compliance of policy and procedures.  At the time of the audit there was one resident who required bedrails as an enabler for safety and three residents who required environmental restraint.  Appropriate documentation supported its use.  The remaining residents are able to freely come and go from the facility as they please.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for the size and complexity of the service.  The infection control coordinator (clinical nurse manager) is responsible for coordinating the infection control programme and providing education and training for staff.  The infection control manual outlines the scope of the programme and includes a comprehensive range of policies and guidelines.  Information is obtained through surveillance to determine infection control activities.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9"/>
        <w:gridCol w:w="1280"/>
        <w:gridCol w:w="96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Commissioner’s (HDC) Code of Health and Disability Consumers’ Rights (the Code) is being implemented at this rest home level aged care facility.  Staff interviewed (one clinical nurse manager/RN (CNM), two caregivers, one recreation assistant, one maintenance, one laundry staff, one cleaner and one cook) could provide examples of how the Code is incorporated into their job role and responsibilities.  Staff receive training about the Code during their induction to the service.  This training continues annually through the staff education and training programme with the last training taking place on 6 November 2019.  Both staff and residents are invited to attend.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five residents’ files reviewed (including one younger person under long-term chronic health condition) contained signed general consent forms including for photographs, release of information and outings.  Residents and family interviewed stated that they had been given adequate information to support them to make an informed choice.  Resuscitation forms had been appropriately signed by the resident and general practitioner (GP).  Where the resident was not competent to make an informed decision, the GP had made a medically indicated resuscitation decision.  Copies of EPOA were on resident files and one had been appropriately activated by the GP.  The service has been liaising with residents and families to implement advance directives.  Three of five resident files contained advance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agreements sighted align with the DHB contract requirements and have been signed within required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and Disability advocacy brochures are included in the information provided to new residents and their family/whānau during their entry to the service.  Residents and family interviewed were aware of the role of advocacy services and their right to access support.  The complaints process is linked to advocacy services.  Staff receive regular education and training on the role of advocacy services, which begins during their induction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their residents to maintain their relationships with friends and community groups.  Residents may have visitors of their choice at any time.  Assistance is provided by the care staff to ensure that the residents participate in as much as they can safely and desire to do.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that aligns with Right 10 of the Code.  A complaints register is maintained.  Concerns/complaints are discussed during the monthly staff meeting as sighted in the meeting minutes.  Complaints forms are visible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five complaints lodged in 2019 (year to date).  One of these complaints was lodged with the DHB around medication records, rosters, nutrition and residents’ cares documentation.  This complaint led to an issues-based audit by the Ministry of Health on 2 July 2019.  Rosters and residents’ cares were found to be partially substantiated and medication records and nutrition were unsubstantiated.  A comprehensive corrective action plan was developed and implemented to address the findings and this complaint is now documented as closed.  The remaining four complaints were also reviewed.  There was evidence of acknowledgement of the complaint, an investigation and resolution of the complaint within the required timeframes as determined by HDC.  Residents and families interviewed were aware of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that is provided to new residents and their families during their entry to the service.  The CNM and/or facility manager (both owners of the facility) discuss aspects of the Code with residents and their family on admission.  Discussions relating to the Code are also held during the monthly resident meetings.  Three residents and three family members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belongings are used to decorate their rooms.  Caregivers interviewed reported that they knock on bedroom doors prior to entering rooms.  Care staff confirmed they promote the residents' independence by encouraging them to be as active as possible.  Residents and families interviewed and observations during the audit confirmed that the residents’ privacy is respected.  Guidelines on abuse and neglect are documented in policy.  Staff receive annual education and training on abuse and neglect, which begins during their induction to the service and was last provided on 13 May 2019.  One instance of suspected abuse in 2019 required the owner’s attention.  Appropriate action was taken to address this allegation.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There are policies and guidelines to assist staff in the delivery of culturally safe care for Māori.  The service has access to cultural advisors from Te Wānanga o Aotearoa New Plymouth who plan to visit the facility early in 2020 and provide cultural input and advice.  Bilingual signage was evidenced throughout the facility.  Staff are scheduled to attend a cultural in-service in January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was Māori but did not identify any specific cultural values or beliefs, confirmed during an interview with a Māori caregiver and documented in his Māori care plan.  This resident was unable to be interviewed.  One Māori caregiver interviewed stated that Tikanga best practice is being implemented.  All rooms are blessed following a death.  The Code is available in English and in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culture, values and beliefs at the time of admission.  This is achieved in consultation with the resident, whānau/family and/or their representative.  Beliefs and values are incorporated into the residents’ care plans in resident files reviewed.  Residents and family interviewed confirmed they were involved in developing the resident plan of care, which includes the identification of individual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boundaries are discussed with each new employee during their induction to the service.  Professional boundaries are also described in job descriptions.  Interviews with the care staff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Examples of good practice were evident during the audit.  The CNM, experienced in gerontology, is on site a minimum of 40 hours per week and is on-call when not available on site.  She is supported by a second casual RN that covers in her absence.  Resident/family meetings are held bi-monthly.  Communication to families is also facilitated via regular newsletters.  Residents and the relative interviewed reported that they are either very satisfied or satisfied with the services received.  A resident/family satisfaction survey was initiated in November 2019.  Three responses had been returned at the time of the audit and all were very positive.  Interviews with caregivers confirmed that the teamwork amongst staff is very good.  Two quality initiatives that have been implemented over the past year include celebrating the employee of the month, who is nominated by residents and boarders and offering a ‘pop-up shop’ for residents to allow them to make purchases for small goods they wish to have.  Advanced care planning has been completed for 50% of residents and the facility has implemented Medimap to assist with medication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Residents and families interviewed confirmed the admission process and agreement was discussed with them and they were provided with adequate information on entry.  Fifteen incident forms reviewed identified family were notified following a resident incident.  The facility manager, CNM and families interviewed confirmed family are kept informed (eg, incident/accident, doctor visit, change in resident’s state of health).  A family communication form is retained in each resident’s file for the purpose of documented instances when families are kept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Coronation Lodge provides care for up to 22 rest home level residents.  There were 19 residents on the day of audit.  One resident was on the long-term stay – chronic health conditions contract (LTS-CHC), and the remaining 18 residents were under the ARCC.  An additional eight boarders live in separate accommodation adjacent to the aged care facility.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underwent a change in ownership on 4 March 2019.  It was purchased by a couple who work as the facility manager and clinical nurse manager.  The facility manager has previous management experience.  His wife, the clinical nurse manager, is a registered nurse with ten years of experience in nursing in New Zealand.  She previously held the role of clinical nurse specialist for older people’s health at Taranaki Base Hospital.  A 2019 business plan has been implemented that includes the service philosophy of care, quality goals, timeframes and responsibility.  This business plan is regularly reviewed by the owners.</w:t>
            </w:r>
          </w:p>
          <w:p w:rsidR="00EB7645" w:rsidRPr="00BE00C7" w:rsidP="00BE00C7">
            <w:pPr>
              <w:pStyle w:val="OutcomeDescription"/>
              <w:spacing w:before="120" w:after="120"/>
              <w:rPr>
                <w:rFonts w:cs="Arial"/>
                <w:b w:val="0"/>
                <w:lang w:eastAsia="en-NZ"/>
              </w:rPr>
            </w:pPr>
            <w:r w:rsidRPr="00BE00C7">
              <w:rPr>
                <w:rFonts w:cs="Arial"/>
                <w:b w:val="0"/>
                <w:lang w:eastAsia="en-NZ"/>
              </w:rPr>
              <w:t>Both the facility manager and clinical nurse manager have attended a minimum of eight hours of professional development over the past year relating to their respective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CNM is responsible for business operations during the absence of the facility manager.  A casual RN is responsible for clinical operations in the absence of the CNM.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plan and quality and risk policies describe Coronation Lodge’s quality improvement processes.  The service contracts an aged care consultant who maintains and reviews policies to ensure they align with current good practice and meet legislative requirements.  Policy updates are received, and staff are required to read and sign.  Quality management systems are linked to internal audits, incident and accident reporting, health and safety reporting, infection control data, surveys and complaints management.  Data that is collected is analysed and compared monthly and annually for a range of adverse event data (eg, infections, skin tears, falls, pressure injuries).  Corrective actions are documented, implemented where improvements are identified and are regularly evaluated.  Information including identifying trends, analysis and graphs are shared with all staff as confirmed in meeting minutes and during interviews.  The internal audit programme monitors environmental and clinical areas.  Corrective actions are generated and completed for any audit outcomes less than 100% and there was evidence of re-audits as part of the corrective action plan.</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number of quality improvements and these are documented on a QI plan register including (but not limited to); involving residents in education sessions, introducing advance care plans, staff recognition certificates and careerforce training available to all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risk management plan is in place.  The owners hold a contractual relationship with an external company (Employsure) who assists them with implementation of health and safety processes.  The health and safety manual was last updated in September 2019.  A health and safety handbook is provided to all new staff who complete a health and safety competency during their orientation.  The facility manager is the health and safety officer and has attended external health and safety training.  The contracted physiotherapist provides staff manual handling training.  Health and safety is discussed at the monthly staff meetings.  Staff report hazards on hazard report forms and a hazard register is maintained.  Actual and potential risks are documented on the current hazard register.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and the development of specific falls management plans are in place to meet the needs of individual residents who are at risk of falling.  Residents at risk of falling are encouraged to wear hip protectors.  Strategies implemented to reduce the number of falls for residents at risk include regular toileting, intentional rounding and sensor mats.  The number of residents falling in January 2019 – April 2019 averaged 13.8 falls per month and the average falls per month for September – November 2019 was 5.5.  There were no falls reported during the month of November.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with immediate action noted including any follow-up action(s) required.  Incident/accident data is linked to the organisation's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accident/incident forms were reviewed (one medication error, one skin tear, one breach of security, one absconding resident and eleven falls).  There was timely RN assessment and follow-up including relative notifications, corrective action and GP review as required.  Neurologic observations were conducted for suspected head injuries.  The facility manager and CNM reported that they are aware of their responsibility to notify relevant authorities in relation to essential notifications.  Section 31 notification forms were completed in 2019 for one police investigation, one outbreak, and one issues-based audit conducted by HealthCert.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to support recruitment practices.  Five staff files reviewed (one casual registered nurse, one CNM and three caregivers) contained evidence of signed employment agreements.  Missing in a selection of the files was evidence of reference checking.  Performance appraisals were current.  Current practising certificates were sighted for the health professionals.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All staff receive an employee handbook.  Staff interviewed believed new staff were adequately orientated to the service on employment.  An annual training programme covering all the relevant requirements is implemented and attendance records are maintained.  There is an in-service topic each month in conjunction with the staff meeting.  The RNs (CNM and casual) and caregivers complete a range of competencies relevant to their role including (but not limited to) health and safety, abuse/neglect, diabetes, medication competencies, and a range of clinical skills.  The CNM has completed her interRAI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19 residents living in the care facility.  RN cover is provided Monday – Friday with on-call cover when not available on site.  A casual RN covers in the absence of the CNM.  RN hours are documented on the staff roster.</w:t>
            </w:r>
          </w:p>
          <w:p w:rsidR="00EB7645" w:rsidRPr="00BE00C7" w:rsidP="00BE00C7">
            <w:pPr>
              <w:pStyle w:val="OutcomeDescription"/>
              <w:spacing w:before="120" w:after="120"/>
              <w:rPr>
                <w:rFonts w:cs="Arial"/>
                <w:b w:val="0"/>
                <w:lang w:eastAsia="en-NZ"/>
              </w:rPr>
            </w:pPr>
            <w:r w:rsidRPr="00BE00C7">
              <w:rPr>
                <w:rFonts w:cs="Arial"/>
                <w:b w:val="0"/>
                <w:lang w:eastAsia="en-NZ"/>
              </w:rPr>
              <w:t>One long and one short shift caregiver (0700 – 0900) cover the AM shift seven days, a week a third (short shift) caregiver rostered five days a week from 0700 - 1300.  A fourth (short shift) caregiver is rostered from 0800 – 1230 for laundry duties Monday – Friday.  One long and one short shift caregiver (1530 – 2100) cover the PM shift and one caregiver covers the night shift.  There are separate cleaning staff rostered Monday – Friday (0900 – 1430).  A recreation officer is available from 0900 – 1430 Monday – Friday.  A maintenance officer is available four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residents and relatives interviewed informed there are sufficient staff on duty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each resident’s individual record.  Information containing personal resident information is kept confidential and cannot be viewed by other residents or members of the public.  Residents’ files are protected from unauthorised access.  Archived records are kept secure.  Residents’ files demonstrated service integration.  Entries are legible, dated, timed and signed by the relevant caregiver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pack outlining services able to be provided, the admission process and entry to the service.  Residents are assessed and approved for rest home level of care prior to entry.  The clinical nurse manager screens all potential residents prior to entry.  Residents and relatives interviewed confirmed they received information prior to admission and had the opportunity to discuss the admission agreement with the facility manager or the clinical 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in a timely and safe manner.  Residents who require emergency admissions to hospital are managed appropriately and relevant information is communicated to the DHB.  The service ensures appropriate transfer of information occurs.  Relatives are notified if transfers occur.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stored safely.  The clinical nurse manager, casual RN and senior caregivers who administer medications have completed medication competencies.  Medications in robotic rolls are checked on delivery against the electronic medication chart.  There were no self-medicating residents on the day of audit.  The medication fridges and medication room temperatures are checked daily and within acceptable limits.  All medications are prescribed and there are no standing orders.  The supplying pharmacy is available after-hours.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electronic and one paper-based medication charts were reviewed and met prescribing requirements.  All medication charts had photo identification and allergy status recorded.  The outcomes of ‘as required’ medications were recorded in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by a cook who is supported by caregivers during serving of meals.  There is a four-weekly seasonal menu which has been reviewed by a dietitian February 2018.  The cook is informed of resident dietary preferences and notified of any changes to dietary requirements.  Resident dislikes are known and accommodated.  The menu is displayed daily with the main meal at midday.  Pureed meals and diabetic desserts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food control plan that expires 29 March 2020.  Fridge, freezer, chiller temperatures, end cooked, cooling and serving temperatures are taken and recorded daily.  All dry goods in the pantry were date labelled.  Perishable food items in the fridge were date labelled.  A cleaning schedule is maintained.  All food services staff have completed food safety and hygiene training.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and surveys allow for the opportunity for resident feedback on the meals and food services generally.  Residents and family members interviewed were very satisfied with the food and confirmed alternative food choices were offered for dislikes.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accepting/declining entry to service policies.  The referral agency and potential resident and/or family member would be informed of the reason for declining entry.  Reasons for declining entry would be if there are no beds available or the service cannot provide the level of care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indicated that all appropriate personal needs information is gathered during admission in consultation with the resident and their relative where appropriate.  Appropriate assessment tools were completed as part of the initial assessment.  Outcomes of the first and six monthly interRAI assessments were reflected in the long-term care plans.  Relevant assessment tools are used for any changes in resident health status, for example increase in falls and an action plan developed.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interRAI assessment process informs the development of the resident’s care plan; however; not all long-term care plans reviewed described the support required to meet the resident’s goals and needs.  Residents and their family/whānau interviewed reported that they are involved in the care planning and review process.  Allied health professionals involved in the care of residents, complete notes which are reviewed by the clinical 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resident’s condition changes the clinical nurse manager initiates a nurse specialist visit or GP consultation.  Caregivers follow the short-term care plan and report progress against the goals in progress notes and at shift handover.  There was documented evidence of relative notification on the family communication record held in the residents’ files.  Relatives interviewed confirmed they are notified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(eg, dressings).  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assessments/short-term care plans and evaluations were in place for five residents with wounds (including one chronic wound and one facility acquired stage one).  Photos demonstrate the healing or non-healing process.  There has been district nursing involvement in the chronic wound.  The clinical nurse manager has access to the wound nurse specialist at the 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clinical nurse manager and caregivers demonstrated an understanding of the individualised needs of residents.  There was evidence of pressure injury prevention interventions, food and fluid monitoring, monitoring of bowels, monthly weights or more frequently as required, and regular (monthly or more frequently if required) weight management, behaviour charts and blood pressure monitoring.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recreational assistant for four hours a day 9 am – 1 pm Monday to Friday.  The hours are flexible depending on the activities such as afternoon or evening events/outings such as the van outing through the festival of the lights.  The recreational assistant and the clinical nurse manager are progressing through diversional therapy qualifications.  The programme is planned a month in advance and the weekly planner is displayed on the board in the dining room.  The weekend programme is delivered by care staff with some activities being resident led.  The activity programme is planned around meaningful everyday activities and resident preferences including (but not limited to); variety of daily exercises, newspaper reading, discussions and reminiscing, word games, gardening, the walking group, happy hours and barbeques.  The outdoor gardens are well utilised for resident gardening and watering of the raised vegetable beds.  A “pop up shop” shop in the garden area was initiated for the residents in March 2019 and has continued to develop into an activity that residents look forward to.  The residents have access to Wi-Fi for movies of their choice and “Alexa”.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guest speakers such as St Johns and advocates, church visitors for hymn singing and communion, fortnightly entertainers, childcare pre-schoolers and pet therapy on Saturdays.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wheelchair van and there are regular outings to church functions, Age Concern concerts and inter-home visits, preschool visits, shopping and lunches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profile is completed on admission in consultation with the resident/family (as appropriate).  The activity plan in resident files reviewed reflected the specific requirements of each resident.  A participation record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evaluates all initial care plans within three weeks of admission.  Files reviewed demonstrated that the long-term care plan was evaluated at least six monthly or earlier if there was a change in health status.  The written evaluation identifies if the resident goals have been met or unmet.  The multidisciplinary review includes the clinical nurse manager, recreational assistant, facility manager, input form caregivers and the resident/relative as appropriate.  There was at least a three-monthly review by the GP.  Short-term care plans sighted were evaluated and resolved or added to the long-term care plan if the problem is ongoing.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Examples of referrals sighted in files include diabetes nurse, urology, mental health services, geriatrician, cardiac nurse and Parkinson’s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are stored in an external locked shed and distributed to the areas as required.  All chemicals sighted were labelled correctly and stored safely throughout the facility.  There is one sluice room with appropriate personal protective clothing available.  Safety datasheets are available.  Staff have completed an on-line chemical safety course.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current building warrant of fitness which expires March 2020.  The service is meeting the relevant requirements as identified by relevant legislation and standards.  There is a second building on the site that houses private boarders and the facility manager’s office.  A maintenance person is employed five hours a day for four days of the week.  Staff report repairs and requests into a maintenance book that is checked daily and signed off when repairs are completed.  There is a weekly and monthly planned maintenance schedule that includes checks on resident mobility aids and hot water temperatures.  Corrective actions had been taken where water temperatures were above 45 degrees Celsius.  Essential contractors are available 24 hours a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environment allows easy access to communal areas for the residents and promotes independence for residents with mobility aids.  The grounds and gardens are well landscaped.  There are outdoor shaded areas and raised garden beds.  There is a designated outdoor smoking shelter.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had sufficient equipment to carry out the cares for residents as outlined in the care plans.  There is a hoist available for resident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communal toilet and showering facilities.  Privacy locks are in place.  Vacant/in use signage is on the toilet/shower rooms.  All residents interviewed confirmed their privacy was maintained while attending to personal hygiene cares.  All resident rooms have hand basins.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double room and all others are single.  All resident’s rooms are of an appropriate size to allow care to be provided and for the safe use and manoeuvring of mobility aids.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dining room adjacent to the kitchen and a separate lounge for the residents.  All areas are easily accessible for the residents.  The furnishings and seating are appropriate for the resident group.  Residents were seen to be moving freely within the communal areas throughout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persons who complete the cleaning and laundry service.  The laundry person commences at 9 am following assisting with resident showers from 7 am to 9 am.  There is a laundry person on duty seven days a week and a cleaner from Monday to Friday.  There is an external laundry room with a defined clean/dirty area.  There are commercial washing machines and a large dryer with line drying also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cleaning trolley had all chemical bottles labelled and protective wear including plastic aprons and gloves.  The chemical trolley is locked in the external chemical shed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staff interviewed could describe outbreak management processes for laundry and cleaning services.  Residents expressed satisfaction with cleaning and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Six monthly fire evacuation drills take place, last September 2019.  There are emergency management plans in place to ensure health, civil defence and other emergencies are included.  There are adequate supplies in the event of a civil defence emergency including a 1000L water tank, barbeques and gas bottles, food storage, emergency equipment and battery back-up for emergency lights and call bells.  The     service is in the process of installing a generator.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management is included in staff orientation and ongoing as part of the education plan.  A minimum of one person trained in first aid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communal toilets and lounge/dining room areas.  Residents were observed to have their call bells in close proximity.  The building is secure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(IC) programme is appropriate for the size and complexity of the service.  The clinical nurse manager is the IC coordinator with a job description that defines the role and responsibilities for managing infection control across the service.  The infection control programme is linked into the quality management system and discussed at weekly meetings with the facility manager, clinical nurse manager, recreational assistant/care coordinator, laundry person and cleaner.  Infection control is discussed at staff meetings.  The programme under new management is not yet due for an annual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to not visit if unwell.  Residents are offered the influenza vaccine.  Hand sanitisers are strategically placed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an infection control nurse at the DHB, aged care consultant, GPs, laboratory staff and the public health team for support and advice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that are current and reflect the infection control standard SNZ HB 8134:2008, legislation and good practice.  These are developed by an aged care consultant and regularly reviewed.  The infection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infection control coordinator has been a previous clinical nurse specialist and has appropriate knowledge to orientate and educate staff.  The induction package includes specific training around hand washing and standard precautions and training is provided both at orientation and as part of the annual training schedule.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occurs as part of providing daily cares.  Care plans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Internal infection control audits also assist the service in evaluating infection control needs.  There is liaison with the GP and laboratory staff that advise and provide feedback/information to the service.  The GP and the service monitor the use of antibiotics.  Infection control data is collated monthly, analysed for trends and corrective actions and discussed at the monthly staff meeting.  Meeting minutes and graphs are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There was a confirmed norovirus outbreak in September 2019.  Contact and liaison with the Public Health department and notification to HealthCert were sighted.  Information provided to staff, residents and families during the outbreak was sighted in the infection control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policy in place that states the organisations philosophy to restraint minimisation.  The policy identifies that restraint is used as a last resort.  The restraint coordinator is the CNM.   </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there was one resident using an enabler (bedrail).  Verbal consent for enabler use had been signed by the resident.  The safe use of the enabler is reviewed three-monthly.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DHB approved for the use of a keypad exit at the main entrance due to the proximity of a main road and to maintain safety for individual residents as assessed.  The code is visibly available to residents and staff.   There were three residents requiring environmental door restraint.  Consent documentation had been completed by the residents’ families.  The remaining residents were able to freely come and go as observed during the audit.  The security code for access is visible on the keypad when exiting the facility.  No keypad access is required for entering.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4"/>
        <w:gridCol w:w="1280"/>
        <w:gridCol w:w="2925"/>
        <w:gridCol w:w="6828"/>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prospective applicants complete an application prior to undergoing an interview to determine their suitability for the role.  The facility manager reported that reference checking is completed, although was not consistently being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five staff files randomly selected for review were missing evidence of reference checking.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evidence of reference checking is maintained in each staff file.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interRAI assessment process informs the development of the resident’s care plan; however only one of five care plans reviewed documented all the interventions and support required to meet the residents’ needs.  Short-term care plans are used to document and guide staff in the care of residents with short-term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were no documented falls prevention strategies for the LTS-CHC resident assessed at high risk of falls.  The same resident had been seen by the GP for swollen legs and pitting oedema, however there were no documented interventions in place; (ii) there was no pain management plan in place for a new pain requiring GP assessment and analgesia.  The same resident was prone to urinary tract infections, however this was not identified in the care plan or signs/symptoms to report, (iii) one resident at medium risk of falls and potential for wandering did not have documented interventions included in the care plan for falls prevention and risk of wandering; and (iv) there was no behaviour management plan in place for resident (tracer) with verbal aggression.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care plans document the interventions and level of support required to meet residents’ assessed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Sodhi Enterprises Limited - Coronation Lodge Rest Home</w:t>
    </w:r>
    <w:bookmarkEnd w:id="58"/>
    <w:r>
      <w:rPr>
        <w:rFonts w:cs="Arial"/>
        <w:sz w:val="16"/>
        <w:szCs w:val="20"/>
      </w:rPr>
      <w:tab/>
      <w:t xml:space="preserve">Date of Audit: </w:t>
    </w:r>
    <w:bookmarkStart w:id="59" w:name="AuditStartDate1"/>
    <w:r>
      <w:rPr>
        <w:rFonts w:cs="Arial"/>
        <w:sz w:val="16"/>
        <w:szCs w:val="20"/>
      </w:rPr>
      <w:t>9 December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