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Beattie Community Trust Incorporated - Beattie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Beattie Community Trust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Beattie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December 2019</w:t>
      </w:r>
      <w:bookmarkEnd w:id="7"/>
      <w:r w:rsidRPr="009418D4">
        <w:rPr>
          <w:rFonts w:cs="Arial"/>
        </w:rPr>
        <w:tab/>
        <w:t xml:space="preserve">End date: </w:t>
      </w:r>
      <w:bookmarkStart w:id="8" w:name="AuditEndDate"/>
      <w:r w:rsidR="00A4268A">
        <w:rPr>
          <w:rFonts w:cs="Arial"/>
        </w:rPr>
        <w:t>3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Beattie Community Trust Incorporated operates as Beattie Home and provides rest home level care for up to 36 residents. </w:t>
      </w:r>
    </w:p>
    <w:p w:rsidRPr="00A4268A">
      <w:pPr>
        <w:spacing w:before="240" w:line="276" w:lineRule="auto"/>
        <w:rPr>
          <w:rFonts w:eastAsia="Calibri"/>
        </w:rPr>
      </w:pPr>
      <w:r w:rsidRPr="00A4268A">
        <w:rPr>
          <w:rFonts w:eastAsia="Calibri"/>
        </w:rPr>
        <w:t>The manager is a registered nurse who oversees the day to day management of the service. This person reported there had been no significant changes since the previous certification audit in December 2017. Plans are well underway for the construction of a residential dementia unit.</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the manager, a trustee, staff, and a general practitioner. All interviewees spoke positively about the care provided.</w:t>
      </w:r>
    </w:p>
    <w:p w:rsidRPr="00A4268A">
      <w:pPr>
        <w:spacing w:before="240" w:line="276" w:lineRule="auto"/>
        <w:rPr>
          <w:rFonts w:eastAsia="Calibri"/>
        </w:rPr>
      </w:pPr>
      <w:r w:rsidRPr="00A4268A">
        <w:rPr>
          <w:rFonts w:eastAsia="Calibri"/>
        </w:rPr>
        <w:t>This audit revealed no areas requiring improvement. Three ratings of continuous improvement were awarded; one new rating for achievements in governance and two ongoing ratings in activities and human resources.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 service adheres to the practices of open disclosure where necessary.</w:t>
      </w:r>
    </w:p>
    <w:p w:rsidRPr="00A4268A">
      <w:pPr>
        <w:spacing w:before="240" w:line="276" w:lineRule="auto"/>
        <w:rPr>
          <w:rFonts w:eastAsia="Calibri"/>
        </w:rPr>
      </w:pPr>
      <w:r w:rsidRPr="00A4268A">
        <w:rPr>
          <w:rFonts w:eastAsia="Calibri"/>
        </w:rPr>
        <w:t>There have been no complaint investigations by the Office of the Health and Disability Commissioner (HDC) in the past 18 months.  Review of complaint records and interviews with staff, residents and families demonstrated that the complaints register is maintained and that all complaints received since the previous audit were managed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is maintaining its quality and risk management system with regular monitoring of all service areas. </w:t>
      </w:r>
    </w:p>
    <w:p w:rsidRPr="00A4268A">
      <w:pPr>
        <w:spacing w:before="240" w:line="276" w:lineRule="auto"/>
        <w:rPr>
          <w:rFonts w:eastAsia="Calibri"/>
        </w:rPr>
      </w:pPr>
      <w:r w:rsidRPr="00A4268A">
        <w:rPr>
          <w:rFonts w:eastAsia="Calibri"/>
        </w:rPr>
        <w:t>Adverse events are reliably reported by all levels of staff. There was evidence that people impacted by an adverse event are notified, for example, general practitioners and families. Notification of serious events is occurring as required by regulatory requirements.</w:t>
      </w:r>
    </w:p>
    <w:p w:rsidRPr="00A4268A">
      <w:pPr>
        <w:spacing w:before="240" w:line="276" w:lineRule="auto"/>
        <w:rPr>
          <w:rFonts w:eastAsia="Calibri"/>
        </w:rPr>
      </w:pPr>
      <w:r w:rsidRPr="00A4268A">
        <w:rPr>
          <w:rFonts w:eastAsia="Calibri"/>
        </w:rPr>
        <w:t>Human resources systems are in place and staff are recruited and managed effectively. Staff training in relevant subject areas is occurring regularly. All staff are supported and encouraged to attend ongoing performance development and achieve educational qualifications in health care. Experienced and qualified staff are rostered on all shifts in each of the service delivery areas.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Beattie Home have their needs assessed on admission by the multidisciplinary team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at Beattie Home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at Beattie House is overseen by an activities co-ordinator, with input from a part time diversional therapist and many volunteers. The programme provides residents with a diverse range of individual and group activities and is well supported by the local community. A facility van and a car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changes to the footprint of the building.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provider is maintaining a restraint free environment.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Beattie House undertakes aged care specific infection surveillance with data that is analysed, trended and benchmarked.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8"/>
        <w:gridCol w:w="1280"/>
        <w:gridCol w:w="103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best practice, contractual and legislative requirements.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written and verbal complaints have been received since the previous certification audit. Review of the complaint documents and interview with the manager confirmed that each complaint had been acknowledged in writing, investigated and resolved within appropriate time frames. Communication between the parties involved had occurred as required and demonstrated open disclosure. There have been no complaint investigations by the Office of the Health and Disability Commissioner (HDC) or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and were advised in a timely manner about any incidents or accidents and outcomes of regular and any urgent medical reviews. This was supported in the incident forms and residents’ records reviewed. The level of written and verbal information relayed between staff at shift changes about each resident was sufficient to ensure continuity of care.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requirements of the Code. Staff knew how to access interpreter services, although reported this has not been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is a registered nurse with a current practising certificate and has been in the role for almost nine years. Responsibilities and accountabilities are described in a job description and individual employment agreement. The manger confirmed knowledge of the sector, regulatory and reporting requirements and maintains currency through on-line study, meetings of the NZ Age Care Association, the DHB and regular meetings with other facility managers in the Community Trust Care Aotearoa (CTCA) group. Beattie Home is part of the CTCA, a business entity of aged care facilities who share common factors such as being located rurally and governed by not for profit organisations. This group is continuing to add value to the nine aged related residential care facilities who are members. A rating of continuous improvement acknowledges this in 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board are kept informed verbally and in writing by the manager of all operational, quality and risk matters, as confirmed by review of a sample of board meeting minutes and reports for 2018-2019.</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has agreements with the DHB for age related care (ARC) in rest home, respite/short stay and dementia day services. There is also a young persons with disability (YPD) contract in place with the MoH, although there have been no YPD residents admitted for some years. On the day of audit 35 of the 36 beds were occupied which included one person under the post-acute care (PAC)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quality and risk system that reflects the principles of continuous quality improvement. The manager and senior staff manage the system which includes reporting outcomes from collation and analysis of incidents, infections and complaints, resident and family satisfaction surveys, and internal audits. Where areas for improvement are identified these are documented and actions are monitored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data and benchmarking with eight other age care facilities. Quality data and information is reported and discussed at regular health and safety, infection control, restraint and quality and risk team meetings, and general staff meetings. Staff reported their involvement in quality and risk management activities through audit activities, training and information shared at meetings. The manager notifies all staff of corrective actions or policy/process changes by memos and verbally at meetings. Review of the most recent resident and family satisfaction surveys revealed no significant issues and moderate to high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There was a current risk management plan which is monitored by the manager and the Board. The manager is familiar with the Health and Safety at Work Act (2015) and described processes for the identification, monitoring, review and reporting of risks and development of mitigation strategies. There have been no injuries reported to Worksafe NZ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from 2018-2019 revealed clear descriptions of the event, that the incidents were reviewed and investigated by the senior staff and the manager, and where necessary action plans developed. There was evidence that actions are monitored for implementation. Adverse event data is collated, analysed and reported to staff. Falls, urinary tract infections, skin tears and hospital admissions are benchmarked with the eight other facilities who belong to CTCA. </w:t>
            </w:r>
          </w:p>
          <w:p w:rsidR="00EB7645" w:rsidRPr="00BE00C7" w:rsidP="00BE00C7">
            <w:pPr>
              <w:pStyle w:val="OutcomeDescription"/>
              <w:spacing w:before="120" w:after="120"/>
              <w:rPr>
                <w:rFonts w:cs="Arial"/>
                <w:b w:val="0"/>
                <w:lang w:eastAsia="en-NZ"/>
              </w:rPr>
            </w:pPr>
            <w:r w:rsidRPr="00BE00C7">
              <w:rPr>
                <w:rFonts w:cs="Arial"/>
                <w:b w:val="0"/>
                <w:lang w:eastAsia="en-NZ"/>
              </w:rPr>
              <w:t>Two Section 31 notifications have been made to the Ministry of Health and the DHB this year.  A wandering resident from the day stay dementia service was reported in October and an intruder in February. Neither of these events resulted in significant harm.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provider demonstrates achievement beyond the expected full attainment in human resource management. An ongoing rating of continuous improvement acknowledges this in criterion 1.2.7.5. Policies and processes are based on good employment practice and relevant legislation. The recruitment process includes referee checks, police vetting and validation of qualifications and practising certificates (APCs), where required.  A sample of five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Records reviewed demonstrated completion of the required training and completion of annual performance appraisals. All staff are maintaining competency in first aid and CPR. </w:t>
            </w:r>
          </w:p>
          <w:p w:rsidR="00EB7645" w:rsidRPr="00BE00C7" w:rsidP="00BE00C7">
            <w:pPr>
              <w:pStyle w:val="OutcomeDescription"/>
              <w:spacing w:before="120" w:after="120"/>
              <w:rPr>
                <w:rFonts w:cs="Arial"/>
                <w:b w:val="0"/>
                <w:lang w:eastAsia="en-NZ"/>
              </w:rPr>
            </w:pPr>
            <w:r w:rsidRPr="00BE00C7">
              <w:rPr>
                <w:rFonts w:cs="Arial"/>
                <w:b w:val="0"/>
                <w:lang w:eastAsia="en-NZ"/>
              </w:rPr>
              <w:t>Six of the 23 carers have obtained level 4 of the National Certificate in Health and Wellbeing, and eleven have obtained level 3. Five new staff are due to start and one carer is currently unable to study due to other commitments.</w:t>
            </w:r>
          </w:p>
          <w:p w:rsidR="00EB7645" w:rsidRPr="00BE00C7" w:rsidP="00BE00C7">
            <w:pPr>
              <w:pStyle w:val="OutcomeDescription"/>
              <w:spacing w:before="120" w:after="120"/>
              <w:rPr>
                <w:rFonts w:cs="Arial"/>
                <w:b w:val="0"/>
                <w:lang w:eastAsia="en-NZ"/>
              </w:rPr>
            </w:pPr>
            <w:r w:rsidRPr="00BE00C7">
              <w:rPr>
                <w:rFonts w:cs="Arial"/>
                <w:b w:val="0"/>
                <w:lang w:eastAsia="en-NZ"/>
              </w:rPr>
              <w:t>Two RN’s are maintaining annual competency requirements to undertake interRAI assessments. Another RN is outsourced to complete these when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service provider adjusts staffing levels to meet the changing needs of residents.  An afterhours on call roster is in place, and staff reported immediate access to advice is available when needed. Staff interviewed said there were sufficient number of staff rostered on all duties to meet the needs of residents.  Observations and review of a four-week roster cycle and interviews with residents and their family supported this. There is an effective system to replace staff when there are unplanned absences. All staff members are maintaining current first aid certificates and there is always an RN on site or on call.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A recent pharmacy audit by the pharmacist in November 2019, identified four areas requiring corrective action. These had all been addressed prior to this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controlled drugs on site at the time of audit, however evidence verified that controlled drugs are stored securely in accordance with requirements, when in use.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self-administered vitamins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CNL and the manager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in November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Everyday morning tea includes volunteers, visitors, family members and village residents. The community is aware of the open invitation to everyone to participate in the goings on at Beattie Home.</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Otorohanga District Council. A verification audit of the plan was undertaken on 17 May 2019. No areas requiring corrective action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meetings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of Beattie Home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up to date modern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with assistance from a part time diversional therapist, an activities assistant training in diversional therapy and many community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a wide array of community involvement and support. A previous area of continuous improvement around development of a resident centred holistic approach to activities remains in place. Individual, group activities and regular events are offered, that are inclusive of the community and community involvement. Examples included the physiotherapist’s activity programme, visiting entertainers, quiz sessions and daily news updates. The activities programme is discussed at the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or clinical nurse leader (CNL).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current Building Warrant of Fitness (BWOF) due to expire in January 2020.  Appropriate systems are in place to ensure the residents’ physical environment and facilities are fit for their purpose and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is appropriate to that recommended for long term care facilities, with infection definitions reflecting a focus on symptoms rather than laboratory results. These include urinary tract, soft tissue, fungal, eye, gastro-intestinal, the upper and lower respiratory tract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CNL reviews all reported infections. Monthly surveillance data is collated and analysed to identify any trends, possible causative factors and required actions. Results of the surveillance programme are shared with staff via health and safety/quality/infection control meetings,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is maintaining its goal of no restraint, and there were no residents using enablers on the day of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555"/>
        <w:gridCol w:w="41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CTCA is a business entity comprising nine aged care facilities who share common factors, such as being located rurally and governed by not for profit organisations.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the CTCA group have experienced significant improvements in their governance and business operations which leads to improving resident care. The sharing of innovative ideas and strategies across the facilities has resulted in; cost savings in bulk purchasing for goods, power and insurances, use of the same bank allows increased borrowing capacity, shared staff and board training and peer support for RNs and managers is of benefit to all. This was evidenced in the reports generated across the group and through interviews. </w:t>
            </w:r>
          </w:p>
          <w:p w:rsidR="00EB7645" w:rsidRPr="00BE00C7" w:rsidP="00BE00C7">
            <w:pPr>
              <w:pStyle w:val="OutcomeDescription"/>
              <w:spacing w:before="120" w:after="120"/>
              <w:rPr>
                <w:rFonts w:cs="Arial"/>
                <w:b w:val="0"/>
                <w:lang w:eastAsia="en-NZ"/>
              </w:rPr>
            </w:pPr>
            <w:r w:rsidRPr="00BE00C7">
              <w:rPr>
                <w:rFonts w:cs="Arial"/>
                <w:b w:val="0"/>
                <w:lang w:eastAsia="en-NZ"/>
              </w:rPr>
              <w:t>This group has elected its own governance subcommittee. Meetings between the DHB and the chairperson of the governance committee resulted in Bettie Home being part of a pilot programme that allowed offsite users to access the DHB based patient information portal. This gave the registered nursing staff immediate access information about their residents who had been seen by medical staff at Waikato Hospital. Staff could then initiate prescribed treatments and/or plan and arrange follow up appointments ordered by specialists and keep family informed about progress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immediately updated and informed about outcomes from specialist appointments at Waikato Hospital as a result of the service provider being able to access the DHB based patient information portal. This has significantly reduced unnecessary delays in beginning treatment or ordering further tests and follow up. The DHB have evaluated this as effective and authorised access is continuing.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collegiality being built between across all governing bodies and facility managers in the CTCA group is providing valuable peer support, generating innovation and ideas and providing strategic direction for all members. One of the members is planning to build a unit to provide dementia care services as a direct result of the information and support provided within the group. This was evidenced by review of the group reports, interviews with a board member and the manager. </w:t>
            </w:r>
          </w:p>
          <w:p w:rsidR="00EB7645" w:rsidRPr="00BE00C7" w:rsidP="00BE00C7">
            <w:pPr>
              <w:pStyle w:val="OutcomeDescription"/>
              <w:spacing w:before="120" w:after="120"/>
              <w:rPr>
                <w:rFonts w:cs="Arial"/>
                <w:b w:val="0"/>
                <w:lang w:eastAsia="en-NZ"/>
              </w:rPr>
            </w:pPr>
            <w:r w:rsidRPr="00BE00C7">
              <w:rPr>
                <w:rFonts w:cs="Arial"/>
                <w:b w:val="0"/>
                <w:lang w:eastAsia="en-NZ"/>
              </w:rPr>
              <w:t>The group are regularly holding shared training sessions for care staff to attend which is cost efficient, provides more training opportunities and has fostered the participants’ commitment to progress and achieve higher levels of education. Six of the 23 carers have obtained level 4 of the National Certificate in Health and Wellbeing, and eleven have obtained level 3. All the staff interviewed were enthusiastic and said they benefited immensely through giving and receiving peer support, as they are all regionally isolated and not able to access outside support easily.</w:t>
            </w:r>
          </w:p>
          <w:p w:rsidR="00EB7645" w:rsidRPr="00BE00C7" w:rsidP="00BE00C7">
            <w:pPr>
              <w:pStyle w:val="OutcomeDescription"/>
              <w:spacing w:before="120" w:after="120"/>
              <w:rPr>
                <w:rFonts w:cs="Arial"/>
                <w:b w:val="0"/>
                <w:lang w:eastAsia="en-NZ"/>
              </w:rPr>
            </w:pPr>
            <w:r w:rsidRPr="00BE00C7">
              <w:rPr>
                <w:rFonts w:cs="Arial"/>
                <w:b w:val="0"/>
                <w:lang w:eastAsia="en-NZ"/>
              </w:rPr>
              <w:t>The cost benefits for the group are measured in savings gained from group discounts for insurance, bank fees, power supply and bulk purchasing for essential supplies such as continence products, chemicals and food supplies.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is clearly an ongoing area of continuous improvement. Staff are valued by the organisation which is demonstrated in meeting minutes and letters from the board sighted in staff files. The wellbeing and happiness of staff is measured by staff surveys, the positivity expressed by staff, and staff retention. Of the 40 staff, ten have been employed for over nine years. Staff are included in decision making about how best to further improve services. Each staff member is a nominated ‘champion’ in an area of service delivery they take extra responsibility for which leads to service improvement and enhanced staff competency.</w:t>
            </w:r>
          </w:p>
          <w:p w:rsidR="00EB7645" w:rsidRPr="00BE00C7" w:rsidP="00BE00C7">
            <w:pPr>
              <w:pStyle w:val="OutcomeDescription"/>
              <w:spacing w:before="120" w:after="120"/>
              <w:rPr>
                <w:rFonts w:cs="Arial"/>
                <w:b w:val="0"/>
                <w:lang w:eastAsia="en-NZ"/>
              </w:rPr>
            </w:pPr>
            <w:r w:rsidRPr="00BE00C7">
              <w:rPr>
                <w:rFonts w:cs="Arial"/>
                <w:b w:val="0"/>
                <w:lang w:eastAsia="en-NZ"/>
              </w:rPr>
              <w:t>The systems in place for staff training are encouraging and supportive which leads to all staff engaging in professional development. A review process of the training provided includes measurable findings and reports of the benefits to residents. There are now six carers who have achieved level 4 of the National certificate in Health and Wellbeing and 11 with level 3. Fifteen staff hold full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All staff have in-depth health and safety education to ensure they maintain a safe environment for residents. There is documented evidence of all staff working as a team and the manager and GP confirmed that staff always ‘go the extra mile’. This was supported by resident and families interviewed during audit, in the annual satisfaction survey results and in the number of positive compliments received by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plan in place for education and the service encourages and supports further education for staff so that their contribution to the service is maximised.</w:t>
            </w:r>
          </w:p>
          <w:p w:rsidR="00EB7645" w:rsidRPr="00BE00C7" w:rsidP="00BE00C7">
            <w:pPr>
              <w:pStyle w:val="OutcomeDescription"/>
              <w:spacing w:before="120" w:after="120"/>
              <w:rPr>
                <w:rFonts w:cs="Arial"/>
                <w:b w:val="0"/>
                <w:lang w:eastAsia="en-NZ"/>
              </w:rPr>
            </w:pPr>
            <w:r w:rsidRPr="00BE00C7">
              <w:rPr>
                <w:rFonts w:cs="Arial"/>
                <w:b w:val="0"/>
                <w:lang w:eastAsia="en-NZ"/>
              </w:rPr>
              <w:t>This makes staff feel valued and additional duties undertaken by staff known as ‘champions’ is recognised by the board and management. Staff work as a team and this is reflected in a high staff retention rate, the non-use of bureau nurses as staff and staff members’ voluntary involvement in all activities both on-site and off-site when they are not on duty. Resident and family satisfaction survey results and interviews confirmed that all care is delivered in a professional, knowledgeable caring manner. Families and residents acknowledged staff efforts through compliments sent to the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planned provided/facilitated to develop and maintain residents’ strengths, skills and interests. Beattie Home continues to provide a resident holistic centred approach to activities which has family and the community included and is part of all aspects related to the residents’ day to day care.  </w:t>
            </w:r>
          </w:p>
          <w:p w:rsidR="00EB7645" w:rsidRPr="00BE00C7" w:rsidP="00BE00C7">
            <w:pPr>
              <w:pStyle w:val="OutcomeDescription"/>
              <w:spacing w:before="120" w:after="120"/>
              <w:rPr>
                <w:rFonts w:cs="Arial"/>
                <w:b w:val="0"/>
                <w:lang w:eastAsia="en-NZ"/>
              </w:rPr>
            </w:pPr>
            <w:r w:rsidRPr="00BE00C7">
              <w:rPr>
                <w:rFonts w:cs="Arial"/>
                <w:b w:val="0"/>
                <w:lang w:eastAsia="en-NZ"/>
              </w:rPr>
              <w:t>Four activities are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‘Men’s Breakfast’ commenced four years ago. The men of Beattie Home have ‘bloke time’ and go out to breakfast at local cafes with friends from the community.  A survey of resident and family in September 2019, facilitated by the ‘friends of Beattie Home’, showed all residents attending and their families were 100% satisfied with the planned outings and community participation. A recent addition to the men’s breakfast, is the attendance of a guest speaker. The invited guest is as suggested by the members of the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‘Knitting Club’ is another initiative that continues. The club was developed four years ago initially with four residents and now has twenty residents participating to knit for the children up North.  A survey of resident and family in September 2019 facilitated by the ‘friends of Beattie Home’ showed all residents were 100% happy with the activity and when asked, advised that they wanted to remain part of the group.  Staff interviewed have stated that they have noticed that a number of residents who were initially socially isolated have now become very active within the group, there is a general overall observation of increase in communication and discussions within the group noted, and residents are also observed to have an increase in their mobility and have more movement in their fingers and hands.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‘Kaumatua mornings’ continue to occur on a regular basis and are organised by family/whanau and include/welcome residents from the home who affiliate with their Maori culture, their families/whanau and people from the community.  Kai, waiata and the speaking of Te reo Maori is encouraged and supported. </w:t>
            </w:r>
          </w:p>
          <w:p w:rsidR="00EB7645" w:rsidRPr="00BE00C7" w:rsidP="00BE00C7">
            <w:pPr>
              <w:pStyle w:val="OutcomeDescription"/>
              <w:spacing w:before="120" w:after="120"/>
              <w:rPr>
                <w:rFonts w:cs="Arial"/>
                <w:b w:val="0"/>
                <w:lang w:eastAsia="en-NZ"/>
              </w:rPr>
            </w:pPr>
            <w:r w:rsidRPr="00BE00C7">
              <w:rPr>
                <w:rFonts w:cs="Arial"/>
                <w:b w:val="0"/>
                <w:lang w:eastAsia="en-NZ"/>
              </w:rPr>
              <w:t>There are also seven education centres (kindergartens through to intermediate schools) within the community who regularly visit Beattie Home and interact with residents with singing and encourage general day to day interactions.</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above examples, the support from the community is pivotal in ensuring Beattie Home can provide the required services the aging population in the area require.  Eighty volunteers support the home and help in a range of ways. Any new equipment required is financed by community donations. The community’s need for a secure unit to enable residents to remain in the region, has attracted donations from the local community that will enable a high-quality unit to be built with no financing arrangements required. Local businesses donate services and products regularly. On the day of audit, a supply of compost was dropped off to fertilise the numerous gardens around the site. A recent Country and Western event the town was hosting, captured residents’ interests, and the community assisted those residents wishing to attend to do so, with one resident being able to perform. The community supports and participates in ongoing events, with Beattie Home at times the centre of those events (eg, the annual rose and garden show).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Beattie Home has achieved a continuous improvement rating due to the range of activities provided and the integration and interaction with the community and support of the local community. There are clearly documented findings, evidence of actions taken based on the findings and the improvements made to the service provision and resident safety and satisfaction that is measurable. This was supported during staff, resident and family interviews and in the resident/family satisfaction survey results sighted gaining an overall higher satisfaction result for care services. All benefits gained, and outcomes achieved have either a resident safety or satisfaction component.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Beattie Community Trust Incorporated - Beattie Home</w:t>
    </w:r>
    <w:bookmarkEnd w:id="58"/>
    <w:r>
      <w:rPr>
        <w:rFonts w:cs="Arial"/>
        <w:sz w:val="16"/>
        <w:szCs w:val="20"/>
      </w:rPr>
      <w:tab/>
      <w:t xml:space="preserve">Date of Audit: </w:t>
    </w:r>
    <w:bookmarkStart w:id="59" w:name="AuditStartDate1"/>
    <w:r>
      <w:rPr>
        <w:rFonts w:cs="Arial"/>
        <w:sz w:val="16"/>
        <w:szCs w:val="20"/>
      </w:rPr>
      <w:t>3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