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Marne Street Hospital Limited - Marne Street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Marne Street Hospital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Marne Street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November 2019</w:t>
      </w:r>
      <w:bookmarkEnd w:id="7"/>
      <w:r w:rsidRPr="009418D4">
        <w:rPr>
          <w:rFonts w:cs="Arial"/>
        </w:rPr>
        <w:tab/>
        <w:t xml:space="preserve">End date: </w:t>
      </w:r>
      <w:bookmarkStart w:id="8" w:name="AuditEndDate"/>
      <w:r w:rsidR="00A4268A">
        <w:rPr>
          <w:rFonts w:cs="Arial"/>
        </w:rPr>
        <w:t>6 November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Marne Street Hospital provides hospital (geriatric and medical), rest home and residential disability (intellectual and physical) levels of care for up to 55 residents.  There were 51 residents during the audit.</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standards and the contract with the district health board.  The audit process included a review of policies and procedures, the review of resident’s and staff files, observations and interviews with residents, relatives, staff, management and the GP.  </w:t>
      </w:r>
    </w:p>
    <w:p w:rsidRPr="00A4268A">
      <w:pPr>
        <w:spacing w:before="240" w:line="276" w:lineRule="auto"/>
        <w:rPr>
          <w:rFonts w:eastAsia="Calibri"/>
        </w:rPr>
      </w:pPr>
      <w:r w:rsidRPr="00A4268A">
        <w:rPr>
          <w:rFonts w:eastAsia="Calibri"/>
        </w:rPr>
        <w:t>The facility manager is appropriately qualified and experienced and is supported by an experienced clinical manager, a quality coordinator registered nurses and long-standing caregivers.</w:t>
      </w:r>
    </w:p>
    <w:p w:rsidRPr="00A4268A">
      <w:pPr>
        <w:spacing w:before="240" w:line="276" w:lineRule="auto"/>
        <w:rPr>
          <w:rFonts w:eastAsia="Calibri"/>
        </w:rPr>
      </w:pPr>
      <w:r w:rsidRPr="00A4268A">
        <w:rPr>
          <w:rFonts w:eastAsia="Calibri"/>
        </w:rPr>
        <w:t>The previous audit shortfall around progress notes has been addressed.</w:t>
      </w:r>
    </w:p>
    <w:p w:rsidRPr="00A4268A">
      <w:pPr>
        <w:spacing w:before="240" w:line="276" w:lineRule="auto"/>
        <w:rPr>
          <w:rFonts w:eastAsia="Calibri"/>
        </w:rPr>
      </w:pPr>
      <w:r w:rsidRPr="00A4268A">
        <w:rPr>
          <w:rFonts w:eastAsia="Calibri"/>
        </w:rPr>
        <w:t>This audit identified no further areas for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family are well informed, including of changes in resident’s health.  Management have an open-door policy.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 planner for 2019.  Meetings are held to discuss quality and risk management processes.  There is a health and safety management programme available to guide staff.  Incidents and accidents are reported and investigated.  There are human resources policies to support recruitment practices.  The service has an orientation programme in place that provides new staff with relevant information for safe work practice.  An education and training programme for 2019 is being implemented.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All resident files reviewed evidenced that assessments, reassessments and care plans had been completed and evaluated in the required timeframes.  The residents and relatives interviewed confirmed their input into care planning.  Activity assessments and care plans are completed by the diversional therapist.  The activity programme is age appropriate.  The residents and relatives interviewed confirmed satisfaction with the activities programme and their ability to have it changed if desired.  Individual activities are provided either within group settings or on a one-on-one basis.  </w:t>
      </w:r>
    </w:p>
    <w:p w:rsidRPr="00A4268A" w:rsidP="00621629">
      <w:pPr>
        <w:spacing w:before="240" w:line="276" w:lineRule="auto"/>
        <w:rPr>
          <w:rFonts w:eastAsia="Calibri"/>
        </w:rPr>
      </w:pPr>
      <w:r w:rsidRPr="00A4268A">
        <w:rPr>
          <w:rFonts w:eastAsia="Calibri"/>
        </w:rPr>
        <w:t xml:space="preserve">There is an electronic medicine management system in place, medication processes are in line with current legislation.  Food services are provided by an external catering company and resident interviews confirmed satisfaction with food services.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in place, and reactive and preventative maintenance occurs.  The facility is spacious, with large and small lounge areas for residents and relatives to use.  All communal areas are accessible to residents using mobility aids.  External areas are accessible and well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are in place to guide staff in the use of an approved enabler and/or restraint.  On the day of audit, there were five residents using bedrails as restraints, four of these residents were using lap belts on wheelchair as restraints.  There were a further six residents using bedrails as enablers and one of these residents was using a lap belt on a wheelchair as an enabler.  Staff training has been provided around restraint minimisation and management of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Marne Street Hospital has an infection control programme that complies with current best practice.  The infection control programme is designed to link to the quality and risk management system.  Infection data is collated, analysed and discussed at meetings.  There have been no outbreaks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90"/>
        <w:gridCol w:w="1280"/>
        <w:gridCol w:w="103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Information about complaints is provided on admission to residents and their families/whānau.  Feedback forms are available for residents and families/whānau in the foyer.  All staff interviewed (four caregivers, two RNs, one GP, and one diversional therapist) were able to describe the process around reporting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register.  Since the previous audit there have been eight complaints made.  All complaints reviewed had a record of acknowledgement, written investigations, timeframes and where required, corrective actions were documented and implemented.  Results and outcomes of the investigations are fed back to complainants.  Discussions with residents/relatives confirmed that any issues are addressed, and they feel comfortable to bring up any concerns.  </w:t>
            </w:r>
          </w:p>
          <w:p w:rsidR="00EB7645" w:rsidRPr="00BE00C7" w:rsidP="00BE00C7">
            <w:pPr>
              <w:pStyle w:val="OutcomeDescription"/>
              <w:spacing w:before="120" w:after="120"/>
              <w:rPr>
                <w:rFonts w:cs="Arial"/>
                <w:b w:val="0"/>
                <w:lang w:eastAsia="en-NZ"/>
              </w:rPr>
            </w:pPr>
            <w:r w:rsidRPr="00BE00C7">
              <w:rPr>
                <w:rFonts w:cs="Arial"/>
                <w:b w:val="0"/>
                <w:lang w:eastAsia="en-NZ"/>
              </w:rPr>
              <w:t>Two previous complaints lodged with HDC (21 June 2016 and 15 May 2017) have been closed by the Health and Disability Commissioner in 2019.  AS a result of the complaints the service has implemented corrective actions.  There have been significant changes to policies, procedures and practices around wound care and pressure injury prevention.  There has been more pressure relieving equipment purchased which is stored in a separate cupboard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Accident/incidents, complaints procedures and process around open disclosure alerts staff to their responsibility to notify family/next of kin of any accident/incident.  Ten incidents/accident forms reviewed included a section to record NOK notification.  All forms evidenced family were informed if they wished to be.  Three hospital level relatives interviewed, confirmed that they are notified of any changes in their family member’s health status.  An interpreter policy and contact details of interpreters is available.  Interpreter services are used where indicated.  Three hospital and two YPD residents interviewed stated they are kept well informed by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Marne Street Hospital is certified to provide care for up to 55 residents at rest home, hospital (geriatric and medical) and residential disability (physical and intellectual) levels of care.  Ten rooms are certified for dual-purpose with the remaining 45 rooms hospital only.  On the day of the audit, there were 51 hospital-level residents including three residents on the young persons with a disability (YPD) contract, and one resident on a long-term support - chronic health contract (LTS-CHC).  There were no rest home residents.  The facility manager reported that they rarely admit a rest home level resident and would do so under special circumstances only.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owned by three directors who regularly meet with the facility manager.  An annual business plan has been developed for 2019 that includes a mission, vision, values and measurable goals.  Staff acknowledged their understanding of the mission, vision and values during their induction to the service, evidenced via their signature.  Business goals are regularly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experienced facility manager is in charge of operations.  She has previous experience in aged care and has been managing this facility for eight years.  She receives support from an experienced clinical manager/registered nurse and a quality coordinator/enrolled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completed at least eight hours of training related to management of an aged care facility, relevant to her role and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quality and risk management system.  The content of the policies and procedures is detailed to allow effective implementation by staff.  The services policies are reviewed annually.  The quality and risk management system is designed to monitor contractual and standards compliance and includes schedules for training and audit requirements for the month and the managers and quality coordinator ensure completion of these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is collated monthly and discussed with staff at regular meetings.  The internal audit programme is being implemented and corrective action plans have been completed and signed off for internal audits that were not compliant.  Quality initiatives and changes made as a result of satisfaction surveys, complaints and data collated include (but not limited to) trialling a new template for advanced care planning in hospital level care and Marne Street Hospital has been working closely with Hospice in developing this.  Policy and procedures have been reviewed and updated and now include more information on wounds and pressure injury prevention.  Comprehensive procedures have been developed and implemented.  A pocket-sized resource has been developed for nurses and caregivers to prompt them of procedure for a variety of medical issues.  The quality improvement register is maintained that keeps a running tally of quality initiatives and progress.  </w:t>
            </w:r>
          </w:p>
          <w:p w:rsidR="00EB7645" w:rsidRPr="00BE00C7" w:rsidP="00BE00C7">
            <w:pPr>
              <w:pStyle w:val="OutcomeDescription"/>
              <w:spacing w:before="120" w:after="120"/>
              <w:rPr>
                <w:rFonts w:cs="Arial"/>
                <w:b w:val="0"/>
                <w:lang w:eastAsia="en-NZ"/>
              </w:rPr>
            </w:pPr>
            <w:r w:rsidRPr="00BE00C7">
              <w:rPr>
                <w:rFonts w:cs="Arial"/>
                <w:b w:val="0"/>
                <w:lang w:eastAsia="en-NZ"/>
              </w:rPr>
              <w:t>Annual resident/relative satisfaction surveys are completed with results communicated to residents and staff.  The overall service result for the annual resident/relative satisfaction survey completed in 2019 were similar to the 2018 responses.  Improvements indicated in the relatives’ survey included 11 relatives in 2018 and 14 in 2019 stated they were involved all or most of the time in care planning, and 10 relatives in 2018 and 13 relatives in 2019 stated they feel the service is quick to inform them of resident changes or adverse events.</w:t>
            </w:r>
          </w:p>
          <w:p w:rsidR="00EB7645" w:rsidRPr="00BE00C7" w:rsidP="00BE00C7">
            <w:pPr>
              <w:pStyle w:val="OutcomeDescription"/>
              <w:spacing w:before="120" w:after="120"/>
              <w:rPr>
                <w:rFonts w:cs="Arial"/>
                <w:b w:val="0"/>
                <w:lang w:eastAsia="en-NZ"/>
              </w:rPr>
            </w:pPr>
            <w:r w:rsidRPr="00BE00C7">
              <w:rPr>
                <w:rFonts w:cs="Arial"/>
                <w:b w:val="0"/>
                <w:lang w:eastAsia="en-NZ"/>
              </w:rPr>
              <w:t>The resident survey 2019 showed overall satisfaction with services.  Corrective actions were undertaken around the areas of lower satisfaction.  There were improvements made around relatives’ involvement in care planning, and prompt communication of adverse events and the location of staff.  There was overall satisfaction with the activities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is a health and safety and risk management programme in place including policies to guide practice.  The facility manager is the health and safety officer (interviewed) and had completed the specific health and safety training requirements.  Health and safety internal audits are completed.  There is a meeting schedule including quality/RN meetings, department meetings, health and safety meeting and staff meetings.  Meeting minutes reviewed showed a good flow of information.  Toolbox meetings are held when issues arise with nurses and caregivers.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Staff, on interview, (two registered nurses, four caregivers, one activities person, and one kitchen staff) were aware of the process around accident and incident reporting.  Ten accident/incident forms were reviewed for September and October 2019.  Incident forms reviewed reflected a clinical assessment and follow-up by a registered nurse (RN) and identify opportunities to minimise the risks.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managers confirmed that there is an awareness of the requirement to notify relevant authorities in relation to essential notifications.  There is a separate file with section 31 notifications made including pressure injury notifications, falls with fractures, and resident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reviewed, including the clinical manager, two registered nurses and two caregivers evidenced employment contracts and completed orientation.  A register of registered nursing staff and other health practitioner practising certificates is maintained.  The orientation programme includes documented competencies and induction checklists.  Appraisals have been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plan for 2019 which is being implemented according to schedule.  Core competencies are completed, and a record of completion is maintained on staff files.  The clinical manager (RN), quality coordinator (EN) and one RN (external) is interRAI trained.  Due to the high registered nurse turnover to the local DHB. There are no other RNs trained in interRAI.  The managers’ reported low turnover amongst other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currently two caregivers with level 2 Careerforce qualifications, nine with level 3 and one with level 4.  The diversional therapist has a level 4 qualification and there are two overseas trained registered nurses working as caregivers.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RNs and senior caregivers are first aid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safe staffing policy and procedure, which describes staffing, and this can be increased if resident acuity demands.  The facility manager, clinical manager and quality coordinator work 40 hours per week from Monday to Friday.  The facility manager is available on call for non-clinical matters, the clinical manager and senior registered nurses share on call for clinical advice.</w:t>
            </w:r>
          </w:p>
          <w:p w:rsidR="00EB7645" w:rsidRPr="00BE00C7" w:rsidP="00BE00C7">
            <w:pPr>
              <w:pStyle w:val="OutcomeDescription"/>
              <w:spacing w:before="120" w:after="120"/>
              <w:rPr>
                <w:rFonts w:cs="Arial"/>
                <w:b w:val="0"/>
                <w:lang w:eastAsia="en-NZ"/>
              </w:rPr>
            </w:pPr>
            <w:r w:rsidRPr="00BE00C7">
              <w:rPr>
                <w:rFonts w:cs="Arial"/>
                <w:b w:val="0"/>
                <w:lang w:eastAsia="en-NZ"/>
              </w:rPr>
              <w:t>There are two RNs on duty in the mornings from 6.45 am to 3.15 pm, they are supported by 10 caregivers; 4x 7 am to 3.30 pm, 2x 7 am to 1.30 pm, and 4x 7 am to 1 pm.</w:t>
            </w:r>
          </w:p>
          <w:p w:rsidR="00EB7645" w:rsidRPr="00BE00C7" w:rsidP="00BE00C7">
            <w:pPr>
              <w:pStyle w:val="OutcomeDescription"/>
              <w:spacing w:before="120" w:after="120"/>
              <w:rPr>
                <w:rFonts w:cs="Arial"/>
                <w:b w:val="0"/>
                <w:lang w:eastAsia="en-NZ"/>
              </w:rPr>
            </w:pPr>
            <w:r w:rsidRPr="00BE00C7">
              <w:rPr>
                <w:rFonts w:cs="Arial"/>
                <w:b w:val="0"/>
                <w:lang w:eastAsia="en-NZ"/>
              </w:rPr>
              <w:t>There are two RNs rostered on the afternoon shift from 2.30 pm to 11 pm, they are supported by six caregivers; 3x 3 pm to 11 pm, 1x 3 pm to 10 pm, and 2x 4.45 pm to 10 pm.</w:t>
            </w:r>
          </w:p>
          <w:p w:rsidR="00EB7645" w:rsidRPr="00BE00C7" w:rsidP="00BE00C7">
            <w:pPr>
              <w:pStyle w:val="OutcomeDescription"/>
              <w:spacing w:before="120" w:after="120"/>
              <w:rPr>
                <w:rFonts w:cs="Arial"/>
                <w:b w:val="0"/>
                <w:lang w:eastAsia="en-NZ"/>
              </w:rPr>
            </w:pPr>
            <w:r w:rsidRPr="00BE00C7">
              <w:rPr>
                <w:rFonts w:cs="Arial"/>
                <w:b w:val="0"/>
                <w:lang w:eastAsia="en-NZ"/>
              </w:rPr>
              <w:t>There is one RN and two caregivers during the nightshift.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sickness and vacant shifts are covered.  Staff, residents and relatives interviewed confirmed that staff are replaced and feel staffing is adequate.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relevant initial information was recorded within required timeframes into the resident’s individual record.  Personal resident information is kept confidential and cannot be viewed by other residents or members of the public.  Resident files are protected from unauthorised access by being held in a locked staff area.  Archived records are secure in a separate locked storage facility located on the premises.  Care plans and notes are legible.  The progress notes evidence the person completing the entry including date and time including the signature and designation.  The previous finding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resident files demonstrated service integration including records from allied health professionals and specialists involved in the care of the resident.  Information in the electronic medication management system and interRAI data are password protected.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policies align with accepted guidelines.  RNs are responsible for the administration of medications and all have completed an annual medication competency.  The service uses an electronic medication management system and have recently moved to robotic rolls.  Registered nurses complete a medication reconciliation on delivery.  There were no expired medications in the trolley or medication cupboards.  Ten medication charts reviewed identified photo identification and allergy status.  Also, the GP had seen and reviewed the resident three monthly and the medication charts were signed.  The signing sheets in the electronic system demonstrated that medications had been dated and administered as prescribed on the medication chart for all regular and ‘as required’ medications.  Warfarin doses are authorised through the electronic medication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residents self-administering their inhalers with a competency assessment has been completed with GP authorisation and are reviewed three-monthly.  There is evidence of the self-administering being monitored through the electronic medication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RNs have a syringe driver competency.  Standing orders were not in use.  Two RNs were observed administrating medications safely and correctly.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external food service provides all meals, including morning and afternoon tea.  The meals are plated and transported to the facility in hot boxes just prior to service.  Temperature testing occurs and meets the requirements of the Food Control Plan (FCP).  A small stock is kept in the kitchen to accommodate last minute changes in food service.  There is a four-weekly seasonal menu, which was approved by a dietitian in September 2019.  Special diets are catered for including (but not limited to); diabetic, high protein, vegetarian, pureed, soft, and gluten free.</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food control plan in place which is valid until February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 that records all the fridge, freezer and chiller temperatures that are taken and recorded daily.  Dry goods are stored in dated sealed containers.  Chemicals are stored safely.  Cleaning schedules were maintained.  Staff who work in the kitchen have completed a food safety course.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nutritional profiles are kept in a folder in the kitchen with a board for food preferences with food allergies, likes and dislikes listed.  This information is also provided to the contractor.  The folder includes all dietary information and is updated when a new resident enters the service.  Information includes dietary changes and/or weight loss.  The breakfast menu is prepared and served by the staff.  Meals are plated and served at the main kitchen and the kitchenette next to the second dining room/lounge.  Staff were observed assisting residents with their meals and drinks.  Supplements are provided to residents with identified weight loss issues.  There is specialised crockery such as lip plates and mugs and utensils to promote resident independence with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were very satisfied with the food services and reported that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a GP.  There is documented evidence where care plans have been updated to reflect the changes in resident needs/supports.  Short-term care plans are developed for infections, wounds and pressure injuries, weight loss and challenging behaviour.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13 wounds across the facility including skin tears, surgical wounds, pilonidal sinus and nephrostomy sites.  There were three residents with stage 1 pressure injuries, one resident with a stage 2 and one resident with a non-facility acquired stage 4 pressure injury.  All wounds included a wound assessment and treatment plan and regular evaluations have been completed, photographs of chronic wounds routinely occurred on the same week each month.  The RNs have access to specialist nursing wound care management advice if required.  The dietitian and wound care specialist have had input into the stage 4 pressure injury.  Adequate dressing supplies were sighted in the treatment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previous audit the wound policy and assessment forms have been reviewed to be more user friendly and to include relevant information required including specialists available.  Incident forms now include the Waterlow assessment scoring pressure injury and grade and when to discuss with the clinical manager.  Short-term wound assessment plans include whether the wound/pressure injury was present on admission, the frequency of monitoring required and an assessment of the wound.  The wound logs in the wound care file contained information on when the wound commenced and resolved, and monitoring required.  The registered nurses interviewed were fluent on the specialist input available from the DHB and Hospice and who is responsible for referrals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a continence assessment, bowel management, and continence products identified for day use, night use, and other management.  Specialist continence advice is available as needed and this could be described by the RNs interviewed.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included (but are not limited to); monthly weight, blood pressure and pulse, food and fluid charts, change of position and behaviour.  Residents and relatives confirmed their expectations are met and they are kept informed of any changes to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experienced diversional therapist (DT) provides planned activities Monday to Friday.  There is a second DT and an activities coordinator working on completing her training.  The team all have their special strengths that they bring to the service.  There is a weekend afternoon role when they focus on one-on-one time with residents.  The programme is further enhanced by six volunteers who are involved with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calendar is completed fortnightly and is displayed in the communal areas.  There is a comprehensive assessment and individual activity plan developed for each resident and these are reviewed at the same time as the care plan in all resident files reviewed.  Residents/family have the opportunity to provide feedback on the activity programme through resident meetings, six-weekly surveys and multidisciplinary care reviews.  Residents at Marne Street Hospital do not go on planned facility outings as there is no van.  Given this the activities and team, work to ensure links with the community are arranged as required.  The DT stated that there are numerous schools and other community groups that visit the facility along with regular entertainers.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younger people, special consideration is given when planning the activities programme for them.  An interview with one of these residents confirmed that the programme also meets the individual needs of the younger residents.  The YPD resident’s file had a range of interventions documented to allow them to participate in a range of cultural, educational and leisure activities consistent with their needs and preferences.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relatives interviewed confirmed satisfaction with the activities programme and their ability to have it changed if desired.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had been evaluated by RNs six-monthly, or when changes to care occurred.  Written evaluations described the resident’s progress against the resident’s (as appropriate) identified goals.  Care plans for short-term needs were evaluated and either resolved or added to the long-term care plan as an ongoing problem.  The GP reviews residents at least three-monthly or when there is a change in health status.  The relatives interviewed confirmed they are invited to attend the GP visits and multidisciplinary care plan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warrant of fitness expires on 7 October 2020.  A preventative maintenance plan is implemented.  There is a comprehensive check system of the building and equipment to be carried out by the maintenance person.  Electrical appliances and medical equipment are tested and tagged by contracted service providers.  Hot water temperatures are monitored monthly and required remedies (if any) are addressed in timely manner.  </w:t>
            </w:r>
          </w:p>
          <w:p w:rsidR="00EB7645" w:rsidRPr="00BE00C7" w:rsidP="00BE00C7">
            <w:pPr>
              <w:pStyle w:val="OutcomeDescription"/>
              <w:spacing w:before="120" w:after="120"/>
              <w:rPr>
                <w:rFonts w:cs="Arial"/>
                <w:b w:val="0"/>
                <w:lang w:eastAsia="en-NZ"/>
              </w:rPr>
            </w:pPr>
            <w:r w:rsidRPr="00BE00C7">
              <w:rPr>
                <w:rFonts w:cs="Arial"/>
                <w:b w:val="0"/>
                <w:lang w:eastAsia="en-NZ"/>
              </w:rPr>
              <w:t>There are large open plan lounge/dining areas and smaller quiet lounge areas for residents and relatives to use, all communal areas are spacious and accessible to residents using mobility aids.  The external areas are well maintained, and residents can access gardens and indoor areas with ease.  There have been specialised locks placed on to fire exits to prevent wandering residents exiting the building without staff awareness, this was put in place following an incident.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dedicated storage area for specialised equipment such as pressure relieving equipment and matrasses with a log of who has what equipment and photos of the correct procedure for setting up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dedicated smoking area and residents are monitored when they smoke.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coordinator (EN) is the infection control coordinator.  Monthly infection data is collected for all infections based on signs and symptoms of infection.  Short-term care plans are used.  Infection surveillance is an integral part of the infection control programme and is linked to the quality management programme.  Surveillance of all infections is entered onto a monthly infection summary, graphed and evaluated monthly and annually.  Reports of antibiotic usage is available on the electronic medicine management system.  The service is working with the pharmacy and GP around reducing the incidence of urinary tract infections.  Results of surveillance are acted upon in a timely manner.  Outcomes and actions of IC surveillance programme is discussed at all meetings.  The information obtained through infection surveillance and internal audits determine infection control activities, resources and education needs within the facility.  There have been no outbreaks since 2015.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policies and procedures include definitions, processes and use of restraints and enablers.  On the day of audit, there were five residents using bedrails and four residents using lap belts as a restraint on specialised wheelchairs.  Appropriate assessments monitoring, and consents were in place and reviewed three monthly with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six residents using bedrails and one resident using a lap belt as an enabler.  Staff training has been provided around restraint minimisation and management of challenging behaviours (June 2019) and during orientation.  Restraint audits are completed six monthly.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Marne Street Hospital Limited - Marne Street Hospital</w:t>
    </w:r>
    <w:bookmarkEnd w:id="58"/>
    <w:r>
      <w:rPr>
        <w:rFonts w:cs="Arial"/>
        <w:sz w:val="16"/>
        <w:szCs w:val="20"/>
      </w:rPr>
      <w:tab/>
      <w:t xml:space="preserve">Date of Audit: </w:t>
    </w:r>
    <w:bookmarkStart w:id="59" w:name="AuditStartDate1"/>
    <w:r>
      <w:rPr>
        <w:rFonts w:cs="Arial"/>
        <w:sz w:val="16"/>
        <w:szCs w:val="20"/>
      </w:rPr>
      <w:t>5 November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