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Maygrove Care Limited - Maygrove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Maygrove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Maygrove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November 2019</w:t>
      </w:r>
      <w:bookmarkEnd w:id="7"/>
      <w:r w:rsidRPr="009418D4">
        <w:rPr>
          <w:rFonts w:cs="Arial"/>
        </w:rPr>
        <w:tab/>
        <w:t xml:space="preserve">End date: </w:t>
      </w:r>
      <w:bookmarkStart w:id="8" w:name="AuditEndDate"/>
      <w:r w:rsidR="00A4268A">
        <w:rPr>
          <w:rFonts w:cs="Arial"/>
        </w:rPr>
        <w:t>7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Maygrove Village Hospital provides rest home and hospital level care for up to 50 residents. The service is operated by Maygrove Care Limited and managed by a general manager, manager and clinical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Waitemata District Health Board (WDHB). The audit process included review of policies and procedures, review of residents’ and staff records, observations and interviews with residents, family members, managers, staff and two general practitioners.</w:t>
      </w:r>
    </w:p>
    <w:p w:rsidRPr="00A4268A">
      <w:pPr>
        <w:spacing w:before="240" w:line="276" w:lineRule="auto"/>
        <w:rPr>
          <w:rFonts w:eastAsia="Calibri"/>
        </w:rPr>
      </w:pPr>
      <w:r w:rsidRPr="00A4268A">
        <w:rPr>
          <w:rFonts w:eastAsia="Calibri"/>
        </w:rPr>
        <w:t>The audit has resulted in a continuous improvement in safe and appropriate environment. There were no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confirmed to be effective. Access to interpreting services is provided if required. Staff provide residents and families with the information they need to make informed choices and give consent. Services are provided in a manner that respects residents’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 business and quality and risk plans include the goals, values and mission statement of the organisation. Monitoring of the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very involved and feedback is sought from residents and families. Adverse events are documented with corrective action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is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Maygrove village hospital’s entry into the service is appropriate and efficiently managed with relevant information provided to the potential resident/family. Admission assessments are completed by qualified staff including the general practitioners (GPs). All residents have current interRAI assessments. Care plans are individualised, based on a comprehensive range of information and accommodate any new problems that might arise. Files reviewed demonstrated that the care provided and needs of residents were reviewed and evaluated on a regular and timely basis. Residents were referred or transferred to other health services as required.</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all staff who administer medicines have current medication administration competencies.</w:t>
      </w:r>
    </w:p>
    <w:p w:rsidRPr="00A4268A" w:rsidP="00621629">
      <w:pPr>
        <w:spacing w:before="240" w:line="276" w:lineRule="auto"/>
        <w:rPr>
          <w:rFonts w:eastAsia="Calibri"/>
        </w:rPr>
      </w:pPr>
      <w:r w:rsidRPr="00A4268A">
        <w:rPr>
          <w:rFonts w:eastAsia="Calibri"/>
        </w:rPr>
        <w:t>The food service is provided by the village kitchen and meets the nutritional needs of the residents with special needs catered for. A current food safety plan is in place and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building warrant of fitness. Electrical equipment is tested as required. Communal and individual spaces are maintained at a comfortable temperature. Residents are taken to the external areas by staff or family as the hospital is on the first floor of the building. Shade and seating is available in the grounds.</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and cleaning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training and fire drills. Residents reported a timely response to call bells. Security is arranged and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Maygrove Village Hospital has implemented policies and procedures that support the minimisation of restraint. Six enablers and ten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was completed as and when required. There has been no infection outbreak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8"/>
        <w:gridCol w:w="1280"/>
        <w:gridCol w:w="96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Maygrove village hospital has developed policies, procedures and processes to meet its obligations in relation to the Code of Health and Disability Services Consumers’ Rights (the Code). Staff were observed demonstrating respectful communication, encouraging independence, providing options, and maintaining dignity and privacy during provision of care. Interviewed staff understood the requirements of the Code.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policies provide relevant guidance to staff. Clinical files reviewed showed that informed consent has been gained appropriately using the organisation’s standard consent form. There were residents with advance care planning in place.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Posters and brochures related to the Advocacy Service were also displayed and available in the facility. Family members and residents interviewed were aware of the Advocacy Service, how to access this and their right to have support persons of their choice. Interviewed staff provided examples of the involvement of Advocacy Services in relation to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eight complaints have been received over the past year and that actions were taken through to an agreed resolution and were documented and completed within the timeframes required. Action plans showed any required follow up and improvements have been made where possible. The manager is responsible for complaints management and follow up. All staff interviewed confirmed a sound understanding of the complaints process and what actions are required. One external complaint from September 2018 was closed out on the 13 May 2019 by the Health and Disability Commissioner’s office (HDC) as being unsubstantiated.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is displayed at the reception and on notice boards together with information on advocacy services, how to make a complaint and feedback forms. Interviewed staff reported that explanation and clarification on the Code is provided to the residents, family and/or their legal representative on admission to the facility. The Code and information about the Nationwide Health and Disability Advocacy services (Advocacy Services) are provided as part of the admission pack. Interviewed residents and family confirmed being made aware of the Code and advocacy services as part of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 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Care plans included documentation related to the resident’s abilities, and strategies to maximise independence. Interviewed residents reported that they can arrange their own external visits if desired. 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 Training records were sighted. Interviewed residents, family members and GPs reported there has been no incidents of abuse nor neglect alleged or suspected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on tikanga and Maori health. Interviewed staff demonstrated knowledge on how to support residents who identify as Māori to integrate their cultural values and beliefs. There were no residents who identified as Maori on the days of the audit. The staff understood the principles of the Treaty of Waitangi and how to incorporate them into day to day practice, and the importance of whānau. Guidance on tikanga best practice is available and accessible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records sighted confirmed that individual needs are being met. Staff have received training in cultural sensitivity; training records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the hospice/palliative care team, diabetes nurse specialist, wound care specialist, psychogeriatrician and mental health services for older persons, and education of staff. The annual education plan sighted included all mandatory education sessions and these were completed as per schedule. The interviewed general practitioners (GPs)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External education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comments from the paramedics who had transferred a resident back to the facility, that the service responds promptly and has good processes in place for smooth transfer of residents to and from the facility. They reported that the service provides appropriate documentation and handover to the paramedics.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were kept well informed about any changes to their/their relative’s status, were advised in a timely manner about any incidents or accidents and outcomes of regular and any urgent medical reviews. This was evident in residents’ records reviewed and was confirmed by interviewed residents and family members. Staff understood the principles of open disclosure, which was supported by policies and procedures that meet the requirements of the Code. Completed accident and incident forms evidenced involvement of the resident and family in the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and communication boards for those with communication difficulties. On the days of the audit staff were observed communicating with a resident with communication difficulties using a communication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business plan for Maygrove Village Hospital was reviewed in 2019. Quality and risk planning is clearly documented with goals and objectives covering a resident focus on service delivery, provision of effective programmes, meeting certification and contractual requirements, quality and risk management and continuous improvement. The organisation’s mission statement and philosophy were documented along with the values. A sample of monthly reports to management included if there were any emerging risks and/or issues. The general manager operations was present for the closing meeting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manager who holds relevant qualifications and has been in the role for nearly five years. Responsibilities and accountabilities are defined in a job description and an individual employment agreement. The manager is a registered nurse and confirmed knowledge of the sector, regulatory and reporting requirements and maintains currency through the DHB management and leadership programme, hospice education, conferences and other relevant study days which was verified.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Waitemata District Health Board (WDHB) for rest home, hospital and respite level care for up to 50 residents. On the day of audit there were two rest home residents and 48 hospital level care residents. One of the hospital level care residents has been recently re-assessed as requiring psycho-geriatric care. The resident is awaiting placement and is currently being closely monitored by the mental health team and staff. The DHB portfolio manager has been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manager is absent, the clinical manager carries out all the required duties under delegated authority. During absences of key clinical staff the clinical management is overseen by the manager. The manager is a registered nurse and is able to take responsibility for any clinical issues that may arise. Staff interviewed reported that the current arrangement works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Maygrove Village Hospital has a planned quality and risk system that reflects the principles of continuous quality improvement. This includes management of complaints, incident and accidents/adverse events, monitoring of outcomes, annual satisfaction surveys, clinical incidents including infection prevention and control and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that regular review and analysis of quality indicators and that related information is reported and discussed at the quality meetings and staff meetings. Staff reported their involvement in quality and risk management activities through audit activities and being part of various committees, for example, the health and safety, infection prevention and control and restraint minimisation committees. The lists were displayed in the staff room and office. Relevant corrective actions are developed and implemented to address any shortfalls. Resident, family and staff satisfaction surveys are completed annually. The most recent survey evidenced positive feedback was received and any identified issues were addressed.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identification, monitoring, review and reporting of any risks and development of mitigation strategies. The manager and the health and safety representative also interviewed had a good understanding of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incident form. A sample of incident forms reviewed showed these were fully completed, incidents were investigated, action plans developed and actions follow-up in a timely manner. Adverse event data is collated, analysed and reported to the general manager operations by the manager. The manager described essential notification reporting requirements including for pressure injuries. The manager advised there have been no notification of significant events made to the Ministry of Health, HeathCERT or other agencies since the previous audit. However on the day of the audit a Section 31 notice was sent to HealthCERT regarding one hospital level care resident who had recently been re-assessed for psycho-geriatric level care. The resident is being monitored by the mental health services for older persons until a bed is available at a facility in this geographical region. The family are well informed of the transfer process and reason for the transfer.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procedures and processes are based on good employment practice and relevant legislation. The recruitment process is  the responsibility of the manager and includes referee checks, police vetting for all new staff and health professionals qualifications are validated, as are annual practising certificates (APCs) where required. A sample of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w:t>
            </w:r>
          </w:p>
          <w:p w:rsidR="00EB7645" w:rsidRPr="00BE00C7" w:rsidP="00BE00C7">
            <w:pPr>
              <w:pStyle w:val="OutcomeDescription"/>
              <w:spacing w:before="120" w:after="120"/>
              <w:rPr>
                <w:rFonts w:cs="Arial"/>
                <w:b w:val="0"/>
                <w:lang w:eastAsia="en-NZ"/>
              </w:rPr>
            </w:pPr>
            <w:r w:rsidRPr="00BE00C7">
              <w:rPr>
                <w:rFonts w:cs="Arial"/>
                <w:b w:val="0"/>
                <w:lang w:eastAsia="en-NZ"/>
              </w:rPr>
              <w:t>Ongoing education is provided and planned on a yearly and two yearly basis including mandatory training requirements. Care staff have either completed or commenced a New Zealand Qualification Authority (NZQA) education programme to meet the requirements of the provider’s agreement with the DHB.  The service employs thirty nine (39) caregivers. Four caregivers are level 2 and 21 have completed all training requirements. The remaining care staff are enrolled and undertaking level four training currently. Five care staff from overseas have not completed any training.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delivery, 24 hours a day, seven days a week (24/7). The design of the hospital is always considered by the manager when staffing the facility. The facility adjusts staffing levels to meet the changing needs of residents. An afterhours on call roster is in place with staff reporting that excellent access to advice is available when needed. Care staff interviewed reported there were adequate staff available to complete the work allocated to them. Senior care staff hold other responsibilities such as health and safety and administrative roles. Residents, staff and the general practitioners supported this. Observation and review of a four week roster cycle confirmed adequate staff cover has been provided with staff replaced in any unplanned absence. At least one staff member on duty has a current first aid certificate and there is 24 hour/seven days a week registered nurse cover.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information is collected and stored in accordance with the New Zealand Health Records Standard.  A resident file is created on admission and essential information is entered on the day of admission.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GP and allied health service provider notes. </w:t>
            </w:r>
          </w:p>
          <w:p w:rsidR="00EB7645" w:rsidRPr="00BE00C7" w:rsidP="00BE00C7">
            <w:pPr>
              <w:pStyle w:val="OutcomeDescription"/>
              <w:spacing w:before="120" w:after="120"/>
              <w:rPr>
                <w:rFonts w:cs="Arial"/>
                <w:b w:val="0"/>
                <w:lang w:eastAsia="en-NZ"/>
              </w:rPr>
            </w:pPr>
            <w:r w:rsidRPr="00BE00C7">
              <w:rPr>
                <w:rFonts w:cs="Arial"/>
                <w:b w:val="0"/>
                <w:lang w:eastAsia="en-NZ"/>
              </w:rPr>
              <w:t>The current residents’ records are filed in the nurses’ station which is locked when not in use or unattended.  Archived records of past and deceased residents are stored in a secure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records sampled demonstrated that entries were legible, and the writer of each entry signed their name, initials and designation. A signatures register is maintained for all current staff and was updated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clinical nurse manager and the qualified nurses are responsible for the admission process. In interviews conducted, the qualified nursing team reported that 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and GPs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by the qualified nurses, with an escort provided if required. The service uses the district health board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were documented in the progress notes. An observation was made on the days of the audit of a resident being transferred to acute services. Transfer records were prepared in a timely manner and handover was given to the paramedics.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team is made and a new placement found, in consultation with the resident and whānau/family. Referral documents were sighted in the reviewed files.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Maygrove Village Hospital had a current medication management policy that identified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Medication was stored safely and securely in locked medication trolleys in a locked medication room. A safe system for medicine management using an electronic system was observed on the days of audit. Interviewed qualified nurses demonstrated good knowledge and had a clear understanding of their roles and responsibilities related to each stage of medicine management. The RN was observed administering lunchtime medications. The medication trolley was kept within reach and the trolley locked; no medication was left on top of the trolley. Appropriate documentation was completed for medicines administered. All staff who administer medicines are competent to perform the function they manage. Current medication administration competencies were sighted for all staff who administer medicines. Annual medication management education was completed for all staff.</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Interviewed staff reported that the registered nurses (RNs) complete medication reconciliation against the prescription when the medicines are received from the pharmacy. Electronic records of medication reconciliation were sighted.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medication reviews by the GPs were completed and consistently recorded on the electronic medicine charts reviewed. Standing orders are used, were current and complied with guidelines. Records of annual reviews of the standing orders by all the five GPs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medications at the time of audit. Appropriate processes were in place to ensure this was managed in a safe manner. Appropriate assessments were completed, and regular reviews of competency were completed. The medication was stored securely in locked drawers in the resident’s room.</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the village kitchen and is in line with recognised nutritional guidelines for older people. There are three qualified chefs with recognised food safety qualifications. Kitchen assistants have completed relevant food handling training. The menu follows an eight weekly cycle and summer and winter patterns and has been reviewed by a qualified dietitian within the last two years. The service operates with an approved food safety plan and registration issued by the Ministry of Primary Industries (MPI).  A food verification audit was completed by the Auckland Council on 26 August 2019.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Food temperatures, including for high risk items, were monitored appropriately and recorded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Current copies of the dietary profiles were sighted in the kitchen records sighted.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clean on the days of the audit. There was no expired food in the pantry. All the decanted food and cooked food in the fridge were covered and labelled. The kitchen manager reported that no food is reheated. Fridge and freezer temperatures were recorded.</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reported satisfaction with the meal service. The kitchen manager reported that feedback on the food services is sought from residents and family through satisfaction surveys and residents’ meeting. This was verified in the meeting minutes reviewed.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reported that if a referral is received but the prospective resident does not meet the entry criteria or there is no vacancy, the local NASC is advised to ensure the prospective resident and family are supported to find an appropriate care alternative. The consumer and where applicable their family/whanau of choice are informed of the reason for decline and they are advised of other options or alternatives.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Validated nursing assessment tools, such as a pain scale, falls risk, pressure risk, nutritional, screening, continence, interRAI and cultural needs, were used to collect information and to identify any deficits and to inform care planning. All residents have current interRAI assessments completed and the relevant outcome scores have supported care plan goals and interventions. Residents and families confirmed their involvement in the assessment process. There was one resident who was assessed as needing psychogeriatric level of care. The resident was closely monitored by the mental health team and is awaiting placement for psychogeriatric care. Adequate staffing funded by mental health is in place to meet the resident’s needs in the interim. The family was aware of the process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individualised, reflected the support needs of residents, and the outcomes of the integrated assessment process and other relevant clinical information. The needs identified by the interRAI assessments were reflected in care plans reviewed. The reviewed care plans had detailed strategies to manage the identified needs to meet the desired outcomes.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Changes in care required were documented. Interviewed staff reported that the changes are verbally passed on to relevant staff at shift handovers.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interviewed GPs verified that medical input is sought in a timely manner, that medical orders are followed, and care is implemented promptly. Interviewed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activities coordinators. The activities assessment is completed by the activities coordinators within two weeks of admission. This was evidenced in the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were completed on admission to ascertain residents’ needs, interests, abilities and social requirements. Activities assessments are regularly reviewed to help formulate an activities programme that is meaningful to the residents. The residents’ daily activities attendance was monitored and documented. Activities attendance records were sighted.  Activities needs were evaluated regularly as part of the formal six-monthly care plan review. The activities coordinator reported that changes are made on the activities plan for any significant changes in activities participation. </w:t>
            </w:r>
          </w:p>
          <w:p w:rsidR="00EB7645" w:rsidRPr="00BE00C7" w:rsidP="00BE00C7">
            <w:pPr>
              <w:pStyle w:val="OutcomeDescription"/>
              <w:spacing w:before="120" w:after="120"/>
              <w:rPr>
                <w:rFonts w:cs="Arial"/>
                <w:b w:val="0"/>
                <w:lang w:eastAsia="en-NZ"/>
              </w:rPr>
            </w:pPr>
            <w:r w:rsidRPr="00BE00C7">
              <w:rPr>
                <w:rFonts w:cs="Arial"/>
                <w:b w:val="0"/>
                <w:lang w:eastAsia="en-NZ"/>
              </w:rPr>
              <w:t>The planned activities reflected residents’ goals, ordinary patterns of life and included normal community activities. Individual, group activities and regular events are offered.  A weekly activities plan was posted on notice boards around the facility and activities for the day were written on the board and the activities coordinator reported that the board is updated daily. There is a wide range of activities planned to include puzzles, bingo, ‘happy hour’, pet therapy, church services, music, movies, ‘sausage sizzles’, birthday celebrations and manicures. Residents were observed participating in a variety of activities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and satisfaction surveys. Interviewed residents reported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nursing staff document in the progress notes daily as confirmed in the reviewed residents’ records.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evaluations occur every six months following six-monthly interRAI reassessments, or as residents’ needs change, as was evident in reviewed files. Where progress was different from expected, the service responded by initiating changes to the plan of care. Short-term care plans were being consistently reviewed and progress evaluated as clinically indicated. Short-term care plans were closed off as required. When necessary, and for unresolved problems, they were added to the long- term care plans. Interviewed residents and family confirmed being involved in evaluation of care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The interviewed GPs confirmed this. If the need for other non-urgent services are indicated or requested, the GP or RN sends a referral to seek specialist input. Copies of referrals were sighted in residents’ files, including to the mental health team, eye specialists, podiatrist, physiotherapist and dietitian. The resident and the family/whānau are kept informed of the referral process, as verified by documentation and interviews. Any acute/urgent referrals were attended to immediately, such as sending the resident to accident and emergency in an ambulance if the circumstances dictate. This was observed on the days of the audit when a resident was transferred to acute services for further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infectious and hazardous substances. Two maintenance staff were interviewed and had a good understanding of their responsibilities. Appropriate signage is displayed where necessary. An external company is contracted to supply and manage all chemicals and cleaning products and they also provided relevant training for staff. Material safety data sheets were available where chemicals are stored and staff interviewed knew what to do should any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staff were observed using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16 June 2020 was publically displayed.</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are maintained. The testing and tagging of electrical equipment and calibration of bio medical equipment was current as confirmed in documentation reviewed, interviews with two maintenance personal and observation of the environment.  One maintenance person interviewed is an electrical appliance service person (safety, competency and compliance) and has a New Zealand licence which was verified and expires 31 July 2020. The environment was hazard free, residents were safe and independence was promoted at all times.</w:t>
            </w:r>
          </w:p>
          <w:p w:rsidR="00EB7645" w:rsidRPr="00BE00C7" w:rsidP="00BE00C7">
            <w:pPr>
              <w:pStyle w:val="OutcomeDescription"/>
              <w:spacing w:before="120" w:after="120"/>
              <w:rPr>
                <w:rFonts w:cs="Arial"/>
                <w:b w:val="0"/>
                <w:lang w:eastAsia="en-NZ"/>
              </w:rPr>
            </w:pPr>
            <w:r w:rsidRPr="00BE00C7">
              <w:rPr>
                <w:rFonts w:cs="Arial"/>
                <w:b w:val="0"/>
                <w:lang w:eastAsia="en-NZ"/>
              </w:rPr>
              <w:t>An identification of an opportunity for improvement resulting from incident reporting analysis was observed with increasing back strain being reported by staff from the previous year.  A project was initiated and an action plan was developed and implemented by the manager with involvement of the assistant physiotherapist and the health and safety committee who fully supported the project. The benefits for staff and residents have been enormous and the project ‘Reducing Back strain Incidents’ was presented and well received at the WDHB quality improvement workshop series this year 31 October 2019. The manager was presented with a certificate of achievement for the organisation and in recognition of the project and the outstanding outcomes achieved.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ensuite bathrooms in all residents’ rooms. One bathroom with a bath is available if needed. Separate staff/visitors toilets are accessible. Additional large showers are available in each wing for residents needing hoist/transfers.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individual rooms safely. All bedrooms provide single accommodation. Rooms are personalised with furnishings, photos and other personal items displayed. There is room to store mobility aids, wheelchairs and mobility scooters. Staff and residents reported the adequacy of all individual residents’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main dining room and lounge areas are spacious and enable easy access for residents and staff. Smaller lounges are accessible in each wing.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by dedicated laundry staff. The care staff and laundry staff demonstrated a sound knowledge of the laundry processes, dirty/clean flow and handling of soiled linen. Care staff are responsible for taking the dirty linen to the laundry mid-morning and laundry staff take over and ensure laundry is fully completed over the day. One laundry person is designated to this role Monday to Sunday. The cleaning service is also completed by one staff member Monday to Sunday. A supervisor is responsible for both areas of service delivery Monday to Friday and assists as necessary. All staff working in these two areas are fully trained. Training occurs annually as reviewed in the training records. Resident and family interviewed reported the laundry is managed well and that their clothes are returned in a timely manner. Chemicals are in appropriately labelled containers. The staff are awaiting new cupboards to be built for any excess cleaning/laundry products. The laundry is currently locked at all times when a staff member is not in attendance. Cleaning and laundry processes are monitored through the internal audit system and audits are completed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15 October 2004. The hospital was built after the Village and another letter is dated 17 August 2007. Fire training is held six monthly. The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event, including food, water, blankets, mobile phones and gas BBQ’s were sighted and meet the requirements for the 50 residents. The available water meets the requirements of the Auckland City Council. Emergency lighting is tested regularly and recorded. There is no generator back-up on site but a generator can be hired if needed.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and this was observed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guard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appropriately. There is no air-conditioning in the building. Wall mounted fans have been installed in all service areas and in individual rooms as needed. Rooms have natural light and opening windows. The building is on the first floor of the village with lift access and a stairway. The residents and families confirmed the facility is maintained at a comfortable balanced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Maygrove Village Hospital has implemented an infection prevention and control (IPC) programme to minimises the risk of infection to residents, staff and visitors. The programme is guided by a comprehensive and current infection control manual, with input from an external specialist.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 job description with role and responsibilities defined. Infection control matters, including surveillance results, are reported monthly to the general manager, facility manager, clinical manager and tabled at the quality and risk committee meeting. This committee includes the general manager, facility manager, the health and safety representative, activities coordinator, household manager, administrator, administrator assistant, care coordinator and physiotherapy assistant and representatives from food services.</w:t>
            </w:r>
          </w:p>
          <w:p w:rsidR="00EB7645" w:rsidRPr="00BE00C7" w:rsidP="00BE00C7">
            <w:pPr>
              <w:pStyle w:val="OutcomeDescription"/>
              <w:spacing w:before="120" w:after="120"/>
              <w:rPr>
                <w:rFonts w:cs="Arial"/>
                <w:b w:val="0"/>
                <w:lang w:eastAsia="en-NZ"/>
              </w:rPr>
            </w:pPr>
            <w:r w:rsidRPr="00BE00C7">
              <w:rPr>
                <w:rFonts w:cs="Arial"/>
                <w:b w:val="0"/>
                <w:lang w:eastAsia="en-NZ"/>
              </w:rPr>
              <w:t>A notification was posted at the reception that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reported the availability of adequate human, physical and information resources to implement the infection control programme to meet the needs of the service and any outbreak of infection. The ICC coordinator has appropriate skills and knowledge for the role. She has attended relevant study days provided by the local district health board (DHB) as verified in training records sighted. Additional support and information are accessed from the infection control team at the DHB, the community laboratory, the GPs and public health unit, as required. The ICC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Emergency infection outbreak management equipment was in place and regular stock checks were completed to ensure safety for use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reviewed annually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The nursing team, cleaning, laundry and kitchen staff were observed following organisational policies, such as appropriate use of hand-sanitisers, good hand-washing technique and use of disposable aprons, cleaning wipes and gloves. Hand washing and sanitiser dispensers were readily available around the facility. Interviewed staff verified knowledge of infection control policies, practices and where policies were located if required for referencing.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ongoing education sessions. Education is provided annually by suitably qualified RNs and the ICC. Content of the training was documented and evaluated to ensure it was relevant, current and understood. A record of attendance was sighted in the reviewed records. Additional staff education has been provided when needed to address any identified needs, for example, external education was provided onsite by the wound care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The ICC and the clinical nurse manager reported that individual education was provided to residents when there were infection issues to be addressed. This was verified in the short-term care plans reviewed. The one-to-one education included reminders about handwashing and advice about remaining in their room if they were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fungal, eye, chest, wound, bacterial and multi-resistant organisms. The ICC coordinator reviews all reported infections, and these are documented. Nursing staff reported that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infection control committee.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internal audits were completed six-monthly to include staff hand hygiene, environmental hygiene, laundry services and kitchen hygiene. Corrective actions were discussed with staff and implemented. Documentation was sighted in the staff meeting minutes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restraints and enablers. The restraint coordinator provides support and oversight for enabler and restraint management in the facility and demonstrated a sound understanding of the organisation’s policies, procedures and practice and the role and responsibilities. On the day of the audit there were 10 restraints in use and six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records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is made up of the general practitioner, the clinical manager and the manager. The approval group is responsible for the approval of the use of restraints and the restraint processes. It was evident from review of restraint approval group meeting minutes, resident’s records and interviews with the manager that there were clear lines of accountability, that all restraints have been approved and the overall use of restraints is being monitored and analysed. Evidence of family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manager is the restraint coordinator and undertakes the initial assessment with input from the resident’s family. The manager described the documented process. Families confirmed their involvement. The GP is involved in the final decision on the safety of the use of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coordinator/manager described how alternatives to restraints are discussed with staff and family members (e.g., the use of sensor mats and low beds). When restraints are in use frequent monitoring occurs to ensure the resident remains safe at all times. Records of monitoring had the necessary details. Access to advocacy is provided if requested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each restraint approval group meeting. The register was reviewed and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in the organisation’s policy and procedures and in related topics such as positively supporting people with challenging behaviours. Staff spoken to understood that the use of restraints is to be minimised and how to maintain safety when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The evaluation covers all requirements of the Standard including future options to eliminate use, the impact and outcomes achieved and if the policy was followed and documentation completed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an annual review of all restraint use which includes the requirements of the Standard. Monthly restraint meetings and reports completed and individual use is reported to the quality and staff meeting.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restraint/enabler education and feedback from the doctor, staff and families. A six monthly internal audit is carried out also which informs the meetings. Any changes to policies, guidelines, education and processes are implemented if indicated. Data reviewed, minutes and interviews with the manager/restraint coordinator confirmed that restraint has been reduced from the previous year.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3923"/>
        <w:gridCol w:w="69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and the physio-assistant were interviewed in regards to the physical environment, minimising harm, promoting safe mobility and aiding independence with the use of mobility aids appropriate for residents receiving care in this hospital care setting. Education was always provided to staff for transferring residents and use of hoists and other mobility aides to promote independence. However on reflection with the increasing incidence of staff reporting back sprain injuries it was observed to be a significant issue for health and safety of staff and the residents. A quality goal for the coming year was established as part of the quality and risk improvement system to ensure this rate of injury for staff was reduced when meeting the needs of the residents. An action plan was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rating is made for the achievement beyond the expected full attainment for the project initiated after the increasing incidence of back strain was recognised. This was reported to have increased from 8 to11 back strains in 2018 to 2019. The aim of the project was to reduce back strains by 25% by January 2020. Half of the  reported back strains reported were associated with moving and handling residents incidents. The baseline data was collected, analysed and a graph was developed along with a cause and effect diagram with possible aetiology attributing to the back strain injuries. A process map for moving a resident at Maygrove Village Hospital was developed to identify the problem areas. Education was provided to staff in small groups with staff participating rather than the large group demonstrations previously. In addition a transfer plan was developed from each resident’s care plan and a copy placed in each resident’s wardrobe as a guide to staff. A post-education survey was completed to ascertain if staff thought the education provided was more informative or not and whether the transfer plan for each individual resident was read by staff and was helpful or not.  Results from the survey were published from staff discussions and feedback questionnaires. The outcome was that staff felt better informed and by using the transfer plans there was a reduction in back strain reported for this last year so far.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Maygrove Care Limited - Maygrove Village</w:t>
    </w:r>
    <w:bookmarkEnd w:id="58"/>
    <w:r>
      <w:rPr>
        <w:rFonts w:cs="Arial"/>
        <w:sz w:val="16"/>
        <w:szCs w:val="20"/>
      </w:rPr>
      <w:tab/>
      <w:t xml:space="preserve">Date of Audit: </w:t>
    </w:r>
    <w:bookmarkStart w:id="59" w:name="AuditStartDate1"/>
    <w:r>
      <w:rPr>
        <w:rFonts w:cs="Arial"/>
        <w:sz w:val="16"/>
        <w:szCs w:val="20"/>
      </w:rPr>
      <w:t>6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