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F14782">
      <w:pPr>
        <w:pStyle w:val="Heading1"/>
        <w:rPr>
          <w:rFonts w:cs="Arial"/>
        </w:rPr>
      </w:pPr>
      <w:bookmarkStart w:id="0" w:name="PRMS_RIName"/>
      <w:r>
        <w:rPr>
          <w:rFonts w:cs="Arial"/>
        </w:rPr>
        <w:t>Taranaki District Health Board</w:t>
      </w:r>
      <w:bookmarkEnd w:id="0"/>
    </w:p>
    <w:p w:rsidR="00460D43" w:rsidRDefault="00F14782">
      <w:pPr>
        <w:pStyle w:val="Heading2"/>
        <w:spacing w:after="0"/>
        <w:rPr>
          <w:rFonts w:cs="Arial"/>
        </w:rPr>
      </w:pPr>
      <w:r>
        <w:rPr>
          <w:rFonts w:cs="Arial"/>
        </w:rPr>
        <w:t>Introduction</w:t>
      </w:r>
    </w:p>
    <w:p w:rsidR="00460D43" w:rsidRDefault="00F1478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F14782">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F1478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14782"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F14782">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F14782"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1478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Taranaki District Health Board</w:t>
      </w:r>
      <w:bookmarkEnd w:id="4"/>
    </w:p>
    <w:p w:rsidR="005A5115" w:rsidRPr="009418D4" w:rsidRDefault="00F147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Hawera Hospital||Taranaki Base Hospital</w:t>
      </w:r>
      <w:bookmarkEnd w:id="5"/>
    </w:p>
    <w:p w:rsidR="005A5115" w:rsidRPr="009418D4" w:rsidRDefault="00F147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w:t>
      </w:r>
      <w:r>
        <w:rPr>
          <w:rFonts w:cs="Arial"/>
        </w:rPr>
        <w:t>services - Children's health services; Hospital services - Surgical services; Hospital services - Maternity services</w:t>
      </w:r>
      <w:bookmarkEnd w:id="6"/>
    </w:p>
    <w:p w:rsidR="005A5115" w:rsidRPr="009418D4" w:rsidRDefault="00F147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October 2019</w:t>
      </w:r>
      <w:bookmarkEnd w:id="7"/>
      <w:r w:rsidRPr="009418D4">
        <w:rPr>
          <w:rFonts w:cs="Arial"/>
        </w:rPr>
        <w:tab/>
        <w:t xml:space="preserve">End date: </w:t>
      </w:r>
      <w:bookmarkStart w:id="8" w:name="AuditEndDate"/>
      <w:r>
        <w:rPr>
          <w:rFonts w:cs="Arial"/>
        </w:rPr>
        <w:t>25 October 2019</w:t>
      </w:r>
      <w:bookmarkEnd w:id="8"/>
    </w:p>
    <w:p w:rsidR="005A5115" w:rsidRPr="009418D4" w:rsidRDefault="00F1478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193271" w:rsidRPr="009418D4" w:rsidRDefault="00F1478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w:t>
      </w:r>
      <w:r w:rsidRPr="009D18F5">
        <w:rPr>
          <w:rFonts w:cs="Arial"/>
          <w:b/>
        </w:rPr>
        <w:t>ed across all premises included in the audit on the first day of the audit:</w:t>
      </w:r>
      <w:r w:rsidRPr="009418D4">
        <w:rPr>
          <w:rFonts w:cs="Arial"/>
        </w:rPr>
        <w:t xml:space="preserve"> </w:t>
      </w:r>
      <w:bookmarkStart w:id="10" w:name="BedsOccupied"/>
      <w:r w:rsidRPr="009418D4">
        <w:rPr>
          <w:rFonts w:cs="Arial"/>
        </w:rPr>
        <w:t>184</w:t>
      </w:r>
      <w:bookmarkEnd w:id="10"/>
    </w:p>
    <w:p w:rsidR="009D18F5" w:rsidRDefault="00F14782"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14782">
      <w:pPr>
        <w:pStyle w:val="Heading1"/>
        <w:rPr>
          <w:rFonts w:cs="Arial"/>
        </w:rPr>
      </w:pPr>
      <w:r>
        <w:rPr>
          <w:rFonts w:cs="Arial"/>
        </w:rPr>
        <w:lastRenderedPageBreak/>
        <w:t>Executive summary of the audit</w:t>
      </w:r>
    </w:p>
    <w:p w:rsidR="00460D43" w:rsidRDefault="00F14782">
      <w:pPr>
        <w:pStyle w:val="Heading2"/>
        <w:rPr>
          <w:rFonts w:cs="Arial"/>
        </w:rPr>
      </w:pPr>
      <w:r>
        <w:rPr>
          <w:rFonts w:cs="Arial"/>
        </w:rPr>
        <w:t>Introduction</w:t>
      </w:r>
    </w:p>
    <w:p w:rsidR="00460D43" w:rsidRDefault="00F14782">
      <w:pPr>
        <w:spacing w:before="240" w:after="240"/>
        <w:rPr>
          <w:rFonts w:cs="Arial"/>
          <w:lang w:eastAsia="en-NZ"/>
        </w:rPr>
      </w:pPr>
      <w:r>
        <w:rPr>
          <w:rFonts w:cs="Arial"/>
          <w:lang w:eastAsia="en-NZ"/>
        </w:rPr>
        <w:t>This section contains a summary of the auditors’ findings for this audit.  The information is grouped into the six outcome areas co</w:t>
      </w:r>
      <w:r>
        <w:rPr>
          <w:rFonts w:cs="Arial"/>
          <w:lang w:eastAsia="en-NZ"/>
        </w:rPr>
        <w:t>ntained within the Health and Disability Services Standards:</w:t>
      </w:r>
    </w:p>
    <w:p w:rsidR="00460D43" w:rsidRDefault="00F14782">
      <w:pPr>
        <w:pStyle w:val="ListParagraph"/>
        <w:numPr>
          <w:ilvl w:val="0"/>
          <w:numId w:val="1"/>
        </w:numPr>
        <w:spacing w:before="240" w:after="240"/>
        <w:rPr>
          <w:rFonts w:cs="Arial"/>
          <w:lang w:eastAsia="en-NZ"/>
        </w:rPr>
      </w:pPr>
      <w:r>
        <w:rPr>
          <w:rFonts w:cs="Arial"/>
          <w:lang w:eastAsia="en-NZ"/>
        </w:rPr>
        <w:t>consumer rights</w:t>
      </w:r>
    </w:p>
    <w:p w:rsidR="00460D43" w:rsidRDefault="00F14782">
      <w:pPr>
        <w:pStyle w:val="ListParagraph"/>
        <w:numPr>
          <w:ilvl w:val="0"/>
          <w:numId w:val="1"/>
        </w:numPr>
        <w:spacing w:before="240" w:after="240"/>
        <w:rPr>
          <w:rFonts w:cs="Arial"/>
          <w:lang w:eastAsia="en-NZ"/>
        </w:rPr>
      </w:pPr>
      <w:r>
        <w:rPr>
          <w:rFonts w:cs="Arial"/>
          <w:lang w:eastAsia="en-NZ"/>
        </w:rPr>
        <w:t>organisational management</w:t>
      </w:r>
    </w:p>
    <w:p w:rsidR="00460D43" w:rsidRDefault="00F14782">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14782">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14782">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14782">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rsidR="00460D43" w:rsidRDefault="00F14782">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F14782">
      <w:pPr>
        <w:spacing w:after="240"/>
        <w:rPr>
          <w:rFonts w:cs="Arial"/>
          <w:b/>
        </w:rPr>
      </w:pPr>
      <w:r>
        <w:rPr>
          <w:rFonts w:cs="Arial"/>
          <w:b/>
        </w:rPr>
        <w:t>Key</w:t>
      </w:r>
      <w:r>
        <w:rPr>
          <w:rFonts w:cs="Arial"/>
          <w:b/>
        </w:rPr>
        <w:t xml:space="preserve"> to the indicators</w:t>
      </w:r>
    </w:p>
    <w:p w:rsidR="00460D43" w:rsidRDefault="00F14782">
      <w:pPr>
        <w:pStyle w:val="Heading2"/>
        <w:spacing w:after="0"/>
        <w:rPr>
          <w:rFonts w:cs="Arial"/>
        </w:rPr>
      </w:pPr>
      <w:r>
        <w:rPr>
          <w:rFonts w:cs="Arial"/>
        </w:rPr>
        <w:t>General overview of the audit</w:t>
      </w:r>
    </w:p>
    <w:p w:rsidR="00E536CC" w:rsidRDefault="00F14782">
      <w:pPr>
        <w:spacing w:before="240" w:line="276" w:lineRule="auto"/>
        <w:rPr>
          <w:rFonts w:eastAsia="Calibri"/>
        </w:rPr>
      </w:pPr>
      <w:bookmarkStart w:id="11" w:name="GeneralOverview"/>
      <w:r w:rsidRPr="00A4268A">
        <w:rPr>
          <w:rFonts w:eastAsia="Calibri"/>
        </w:rPr>
        <w:t xml:space="preserve">Taranaki </w:t>
      </w:r>
      <w:r w:rsidRPr="00A4268A">
        <w:rPr>
          <w:rFonts w:eastAsia="Calibri"/>
        </w:rPr>
        <w:t>District Health Board has hospitals in New Plymouth and Hawera and provides health services to the Taranaki community. There are 219 inpatient beds.</w:t>
      </w:r>
    </w:p>
    <w:p w:rsidR="00193271" w:rsidRPr="00A4268A" w:rsidRDefault="00F14782">
      <w:pPr>
        <w:spacing w:before="240" w:line="276" w:lineRule="auto"/>
        <w:rPr>
          <w:rFonts w:eastAsia="Calibri"/>
        </w:rPr>
      </w:pPr>
      <w:r w:rsidRPr="00A4268A">
        <w:rPr>
          <w:rFonts w:eastAsia="Calibri"/>
        </w:rPr>
        <w:t>The audit team visited Taranaki Base hospital and Hawera hospital and completed five patient tracers and th</w:t>
      </w:r>
      <w:r w:rsidRPr="00A4268A">
        <w:rPr>
          <w:rFonts w:eastAsia="Calibri"/>
        </w:rPr>
        <w:t>ree systems tracers. Prior to the audit, the audit team was able to review a self-assessment from the organisation against the standards and this was supplemented with further information on site. Interviews were undertaken with managers, staff, patients a</w:t>
      </w:r>
      <w:r w:rsidRPr="00A4268A">
        <w:rPr>
          <w:rFonts w:eastAsia="Calibri"/>
        </w:rPr>
        <w:t>nd their families.</w:t>
      </w:r>
    </w:p>
    <w:p w:rsidR="00193271" w:rsidRPr="00A4268A" w:rsidRDefault="00F14782">
      <w:pPr>
        <w:spacing w:before="240" w:line="276" w:lineRule="auto"/>
        <w:rPr>
          <w:rFonts w:eastAsia="Calibri"/>
        </w:rPr>
      </w:pPr>
      <w:r w:rsidRPr="00A4268A">
        <w:rPr>
          <w:rFonts w:eastAsia="Calibri"/>
        </w:rPr>
        <w:t>At the time of the audit an organisation wide restructure and the implementation of a new clinical governance framework was underway. The changes are having an impact on staff across services, however, staff interviewed generally articul</w:t>
      </w:r>
      <w:r w:rsidRPr="00A4268A">
        <w:rPr>
          <w:rFonts w:eastAsia="Calibri"/>
        </w:rPr>
        <w:t xml:space="preserve">ated the changes </w:t>
      </w:r>
      <w:r w:rsidRPr="00A4268A">
        <w:rPr>
          <w:rFonts w:eastAsia="Calibri"/>
        </w:rPr>
        <w:lastRenderedPageBreak/>
        <w:t>positively and are focused on providing safe quality care to patients. An announcement of funding approval for the proposed new clinical block has had a positive impact.</w:t>
      </w:r>
    </w:p>
    <w:p w:rsidR="00193271" w:rsidRPr="00A4268A" w:rsidRDefault="00F14782">
      <w:pPr>
        <w:spacing w:before="240" w:line="276" w:lineRule="auto"/>
        <w:rPr>
          <w:rFonts w:eastAsia="Calibri"/>
        </w:rPr>
      </w:pPr>
      <w:r w:rsidRPr="00A4268A">
        <w:rPr>
          <w:rFonts w:eastAsia="Calibri"/>
        </w:rPr>
        <w:t>The new clinical governance framework will support improved quality s</w:t>
      </w:r>
      <w:r w:rsidRPr="00A4268A">
        <w:rPr>
          <w:rFonts w:eastAsia="Calibri"/>
        </w:rPr>
        <w:t>ystems and clinical leadership.</w:t>
      </w:r>
    </w:p>
    <w:p w:rsidR="00193271" w:rsidRPr="00A4268A" w:rsidRDefault="00F14782">
      <w:pPr>
        <w:spacing w:before="240" w:line="276" w:lineRule="auto"/>
        <w:rPr>
          <w:rFonts w:eastAsia="Calibri"/>
        </w:rPr>
      </w:pPr>
      <w:r w:rsidRPr="00A4268A">
        <w:rPr>
          <w:rFonts w:eastAsia="Calibri"/>
        </w:rPr>
        <w:t>There are 16 required improvements arising from this audit in the areas of informed consent, complaints management, quality and risk management (clinical governance, policies, data, corrective action plans, risks), performan</w:t>
      </w:r>
      <w:r w:rsidRPr="00A4268A">
        <w:rPr>
          <w:rFonts w:eastAsia="Calibri"/>
        </w:rPr>
        <w:t>ce appraisals, mandatory training, nursing documentation (assessment, planning and internal transfers), medication management, equipment management, isolation and antimicrobial stewardship.</w:t>
      </w:r>
    </w:p>
    <w:bookmarkEnd w:id="11"/>
    <w:p w:rsidR="00193271" w:rsidRPr="00A4268A" w:rsidRDefault="00193271">
      <w:pPr>
        <w:spacing w:before="240" w:line="276" w:lineRule="auto"/>
        <w:rPr>
          <w:rFonts w:eastAsia="Calibri"/>
        </w:rPr>
      </w:pPr>
    </w:p>
    <w:p w:rsidR="00460D43" w:rsidRDefault="00F14782" w:rsidP="000E6E02">
      <w:pPr>
        <w:pStyle w:val="Heading2"/>
        <w:spacing w:before="0"/>
        <w:rPr>
          <w:rFonts w:cs="Arial"/>
        </w:rPr>
      </w:pPr>
      <w:r>
        <w:rPr>
          <w:rFonts w:cs="Arial"/>
        </w:rPr>
        <w:t>Consumer rights</w:t>
      </w:r>
    </w:p>
    <w:p w:rsidR="00460D43" w:rsidRDefault="00F14782">
      <w:pPr>
        <w:spacing w:before="240" w:line="276" w:lineRule="auto"/>
        <w:rPr>
          <w:rFonts w:eastAsia="Calibri"/>
        </w:rPr>
      </w:pPr>
      <w:bookmarkStart w:id="12" w:name="ConsumerRights"/>
      <w:r w:rsidRPr="00A4268A">
        <w:rPr>
          <w:rFonts w:eastAsia="Calibri"/>
        </w:rPr>
        <w:t xml:space="preserve">Information pertaining to consumer rights is on display throughout Taranaki Base hospital and </w:t>
      </w:r>
      <w:r w:rsidRPr="00A4268A">
        <w:rPr>
          <w:rFonts w:eastAsia="Calibri"/>
        </w:rPr>
        <w:t>Hawera hospital. There are documented policies, procedures and processes in relation to the Health and Disability Commissioner’s Code of Health and Disability Services Consumers’ Rights.</w:t>
      </w:r>
    </w:p>
    <w:p w:rsidR="00193271" w:rsidRPr="00A4268A" w:rsidRDefault="00F14782">
      <w:pPr>
        <w:spacing w:before="240" w:line="276" w:lineRule="auto"/>
        <w:rPr>
          <w:rFonts w:eastAsia="Calibri"/>
        </w:rPr>
      </w:pPr>
      <w:r w:rsidRPr="00A4268A">
        <w:rPr>
          <w:rFonts w:eastAsia="Calibri"/>
        </w:rPr>
        <w:t>Staff interviewed were familiar with the Health and Disability Commis</w:t>
      </w:r>
      <w:r w:rsidRPr="00A4268A">
        <w:rPr>
          <w:rFonts w:eastAsia="Calibri"/>
        </w:rPr>
        <w:t>sioner’s Code of Health and Disability Consumers’ Rights and able to discuss how they incorporate consumer rights into their interactions with patients and family/whānau. The auditors observed that patients are treated with dignity and respect. Patients an</w:t>
      </w:r>
      <w:r w:rsidRPr="00A4268A">
        <w:rPr>
          <w:rFonts w:eastAsia="Calibri"/>
        </w:rPr>
        <w:t>d family members interviewed expressed satisfaction with their care and treatment.</w:t>
      </w:r>
    </w:p>
    <w:p w:rsidR="00193271" w:rsidRPr="00A4268A" w:rsidRDefault="00F14782">
      <w:pPr>
        <w:spacing w:before="240" w:line="276" w:lineRule="auto"/>
        <w:rPr>
          <w:rFonts w:eastAsia="Calibri"/>
        </w:rPr>
      </w:pPr>
      <w:r w:rsidRPr="00A4268A">
        <w:rPr>
          <w:rFonts w:eastAsia="Calibri"/>
        </w:rPr>
        <w:t xml:space="preserve">The Māori health team provides support to Māori patients and their families during their inpatient stay and through their transition back into the community. </w:t>
      </w:r>
    </w:p>
    <w:p w:rsidR="00193271" w:rsidRPr="00A4268A" w:rsidRDefault="00F14782">
      <w:pPr>
        <w:spacing w:before="240" w:line="276" w:lineRule="auto"/>
        <w:rPr>
          <w:rFonts w:eastAsia="Calibri"/>
        </w:rPr>
      </w:pPr>
      <w:r w:rsidRPr="00A4268A">
        <w:rPr>
          <w:rFonts w:eastAsia="Calibri"/>
        </w:rPr>
        <w:t>The organisati</w:t>
      </w:r>
      <w:r w:rsidRPr="00A4268A">
        <w:rPr>
          <w:rFonts w:eastAsia="Calibri"/>
        </w:rPr>
        <w:t xml:space="preserve">on supports the use of evidence based best practice. </w:t>
      </w:r>
    </w:p>
    <w:p w:rsidR="00193271" w:rsidRPr="00A4268A" w:rsidRDefault="00F14782">
      <w:pPr>
        <w:spacing w:before="240" w:line="276" w:lineRule="auto"/>
        <w:rPr>
          <w:rFonts w:eastAsia="Calibri"/>
        </w:rPr>
      </w:pPr>
      <w:r w:rsidRPr="00A4268A">
        <w:rPr>
          <w:rFonts w:eastAsia="Calibri"/>
        </w:rPr>
        <w:t xml:space="preserve">Customer feedback forms, information about the right to complain and access to advocacy services, and general patient information are provided and are accessible throughout the organisation. </w:t>
      </w:r>
    </w:p>
    <w:bookmarkEnd w:id="12"/>
    <w:p w:rsidR="00193271" w:rsidRPr="00A4268A" w:rsidRDefault="00193271">
      <w:pPr>
        <w:spacing w:before="240" w:line="276" w:lineRule="auto"/>
        <w:rPr>
          <w:rFonts w:eastAsia="Calibri"/>
        </w:rPr>
      </w:pPr>
    </w:p>
    <w:p w:rsidR="00460D43" w:rsidRDefault="00F14782" w:rsidP="000E6E02">
      <w:pPr>
        <w:pStyle w:val="Heading2"/>
        <w:spacing w:before="0"/>
        <w:rPr>
          <w:rFonts w:cs="Arial"/>
        </w:rPr>
      </w:pPr>
      <w:r>
        <w:rPr>
          <w:rFonts w:cs="Arial"/>
        </w:rPr>
        <w:t>Organisat</w:t>
      </w:r>
      <w:r>
        <w:rPr>
          <w:rFonts w:cs="Arial"/>
        </w:rPr>
        <w:t>ional management</w:t>
      </w:r>
    </w:p>
    <w:p w:rsidR="00460D43" w:rsidRDefault="00F14782">
      <w:pPr>
        <w:spacing w:before="240" w:line="276" w:lineRule="auto"/>
        <w:rPr>
          <w:rFonts w:eastAsia="Calibri"/>
        </w:rPr>
      </w:pPr>
      <w:bookmarkStart w:id="13" w:name="OrganisationalManagement"/>
      <w:r w:rsidRPr="00A4268A">
        <w:rPr>
          <w:rFonts w:eastAsia="Calibri"/>
        </w:rPr>
        <w:t>Taranaki District Health Board is governed by the board which is in transition following the local body elections. The planned direction of the organisation is in the district annual plan and health a</w:t>
      </w:r>
      <w:r w:rsidRPr="00A4268A">
        <w:rPr>
          <w:rFonts w:eastAsia="Calibri"/>
        </w:rPr>
        <w:t>ction plan. Interviews with the board and executive team demonstrated a commitment to the provision of safe quality care. The new clinical governance framework is in its implementation phase. Across the organisation the audit team were able to discuss with</w:t>
      </w:r>
      <w:r w:rsidRPr="00A4268A">
        <w:rPr>
          <w:rFonts w:eastAsia="Calibri"/>
        </w:rPr>
        <w:t xml:space="preserve"> staff the improvements made and planned. </w:t>
      </w:r>
    </w:p>
    <w:p w:rsidR="00193271" w:rsidRPr="00A4268A" w:rsidRDefault="00F14782">
      <w:pPr>
        <w:spacing w:before="240" w:line="276" w:lineRule="auto"/>
        <w:rPr>
          <w:rFonts w:eastAsia="Calibri"/>
        </w:rPr>
      </w:pPr>
      <w:r w:rsidRPr="00A4268A">
        <w:rPr>
          <w:rFonts w:eastAsia="Calibri"/>
        </w:rPr>
        <w:t>Systems are in place to ensure services are managed 24/7 with appropriately experienced and qualified staff. Medical staff are credentialed, and recruitment practices ensure staff are qualified and experienced for</w:t>
      </w:r>
      <w:r w:rsidRPr="00A4268A">
        <w:rPr>
          <w:rFonts w:eastAsia="Calibri"/>
        </w:rPr>
        <w:t xml:space="preserve"> the role. All staff are orientated on commencement of employment.</w:t>
      </w:r>
    </w:p>
    <w:p w:rsidR="00193271" w:rsidRPr="00A4268A" w:rsidRDefault="00F14782">
      <w:pPr>
        <w:spacing w:before="240" w:line="276" w:lineRule="auto"/>
        <w:rPr>
          <w:rFonts w:eastAsia="Calibri"/>
        </w:rPr>
      </w:pPr>
      <w:r w:rsidRPr="00A4268A">
        <w:rPr>
          <w:rFonts w:eastAsia="Calibri"/>
        </w:rPr>
        <w:t>The organisation is in transition from paper clinical records to an electronic record. The risks associated with change are understood and managed.</w:t>
      </w:r>
    </w:p>
    <w:bookmarkEnd w:id="13"/>
    <w:p w:rsidR="00193271" w:rsidRPr="00A4268A" w:rsidRDefault="00193271">
      <w:pPr>
        <w:spacing w:before="240" w:line="276" w:lineRule="auto"/>
        <w:rPr>
          <w:rFonts w:eastAsia="Calibri"/>
        </w:rPr>
      </w:pPr>
    </w:p>
    <w:p w:rsidR="00460D43" w:rsidRDefault="00F14782" w:rsidP="000E6E02">
      <w:pPr>
        <w:pStyle w:val="Heading2"/>
        <w:spacing w:before="0"/>
        <w:rPr>
          <w:rFonts w:cs="Arial"/>
        </w:rPr>
      </w:pPr>
      <w:r>
        <w:rPr>
          <w:rFonts w:cs="Arial"/>
        </w:rPr>
        <w:t>Continuum of service delivery</w:t>
      </w:r>
    </w:p>
    <w:p w:rsidR="00E536CC" w:rsidRPr="005E14A4" w:rsidRDefault="00F14782" w:rsidP="00621629">
      <w:pPr>
        <w:spacing w:before="240" w:line="276" w:lineRule="auto"/>
        <w:rPr>
          <w:rFonts w:eastAsia="Calibri"/>
        </w:rPr>
      </w:pPr>
      <w:bookmarkStart w:id="14" w:name="ContinuumOfServiceDelivery"/>
      <w:r w:rsidRPr="00A4268A">
        <w:rPr>
          <w:rFonts w:eastAsia="Calibri"/>
        </w:rPr>
        <w:t xml:space="preserve">The patient tracers were completed in five services including: medical; surgical; child health; maternity and mental health. The systems tracers were </w:t>
      </w:r>
      <w:r w:rsidRPr="00A4268A">
        <w:rPr>
          <w:rFonts w:eastAsia="Calibri"/>
        </w:rPr>
        <w:t xml:space="preserve">completed for medicines management, infection prevention and control, and care capacity and demand management.  </w:t>
      </w:r>
    </w:p>
    <w:p w:rsidR="00193271" w:rsidRPr="00A4268A" w:rsidRDefault="00F14782" w:rsidP="00621629">
      <w:pPr>
        <w:spacing w:before="240" w:line="276" w:lineRule="auto"/>
        <w:rPr>
          <w:rFonts w:eastAsia="Calibri"/>
        </w:rPr>
      </w:pPr>
      <w:r w:rsidRPr="00A4268A">
        <w:rPr>
          <w:rFonts w:eastAsia="Calibri"/>
        </w:rPr>
        <w:t>The review of patient journeys through patient tracers and additional patient clinical record reviews demonstrated a multidisciplinary team app</w:t>
      </w:r>
      <w:r w:rsidRPr="00A4268A">
        <w:rPr>
          <w:rFonts w:eastAsia="Calibri"/>
        </w:rPr>
        <w:t>roach to patient care. All members of the multidisciplinary team record patient care and treatment in the patient’s progress notes.</w:t>
      </w:r>
    </w:p>
    <w:p w:rsidR="00193271" w:rsidRPr="00A4268A" w:rsidRDefault="00F14782" w:rsidP="00621629">
      <w:pPr>
        <w:spacing w:before="240" w:line="276" w:lineRule="auto"/>
        <w:rPr>
          <w:rFonts w:eastAsia="Calibri"/>
        </w:rPr>
      </w:pPr>
      <w:r w:rsidRPr="00A4268A">
        <w:rPr>
          <w:rFonts w:eastAsia="Calibri"/>
        </w:rPr>
        <w:t xml:space="preserve">There was evidence of evaluations of patient’s care and changes to patient’s care planning when this was required. </w:t>
      </w:r>
      <w:r w:rsidRPr="00A4268A">
        <w:rPr>
          <w:rFonts w:eastAsia="Calibri"/>
        </w:rPr>
        <w:t>Patients and family members interviewed confirmed they have input into care planning and are consulted on treatment and care.</w:t>
      </w:r>
    </w:p>
    <w:p w:rsidR="00193271" w:rsidRPr="00A4268A" w:rsidRDefault="00F14782" w:rsidP="00621629">
      <w:pPr>
        <w:spacing w:before="240" w:line="276" w:lineRule="auto"/>
        <w:rPr>
          <w:rFonts w:eastAsia="Calibri"/>
        </w:rPr>
      </w:pPr>
      <w:r w:rsidRPr="00A4268A">
        <w:rPr>
          <w:rFonts w:eastAsia="Calibri"/>
        </w:rPr>
        <w:lastRenderedPageBreak/>
        <w:t>Continuity of care is facilitated through handovers at the change of each shift and these demonstrated appropriate sharing of info</w:t>
      </w:r>
      <w:r w:rsidRPr="00A4268A">
        <w:rPr>
          <w:rFonts w:eastAsia="Calibri"/>
        </w:rPr>
        <w:t>rmation between staff. Patients for discharge and/or assessment are discussed at ward meetings.</w:t>
      </w:r>
    </w:p>
    <w:p w:rsidR="00193271" w:rsidRPr="00A4268A" w:rsidRDefault="00F14782" w:rsidP="00621629">
      <w:pPr>
        <w:spacing w:before="240" w:line="276" w:lineRule="auto"/>
        <w:rPr>
          <w:rFonts w:eastAsia="Calibri"/>
        </w:rPr>
      </w:pPr>
      <w:r w:rsidRPr="00A4268A">
        <w:rPr>
          <w:rFonts w:eastAsia="Calibri"/>
        </w:rPr>
        <w:t xml:space="preserve">The organisation has a combination of an electronic medication prescribing and administration system and hard copy medication charts, supported by policies and </w:t>
      </w:r>
      <w:r w:rsidRPr="00A4268A">
        <w:rPr>
          <w:rFonts w:eastAsia="Calibri"/>
        </w:rPr>
        <w:t xml:space="preserve">procedures. </w:t>
      </w:r>
    </w:p>
    <w:p w:rsidR="00193271" w:rsidRPr="00A4268A" w:rsidRDefault="00F14782" w:rsidP="00621629">
      <w:pPr>
        <w:spacing w:before="240" w:line="276" w:lineRule="auto"/>
        <w:rPr>
          <w:rFonts w:eastAsia="Calibri"/>
        </w:rPr>
      </w:pPr>
      <w:r w:rsidRPr="00A4268A">
        <w:rPr>
          <w:rFonts w:eastAsia="Calibri"/>
        </w:rPr>
        <w:t>The patients interviewed were positive about the food services which are managed by a contracted service provider with dietitian input into menus and special diets.</w:t>
      </w:r>
    </w:p>
    <w:bookmarkEnd w:id="14"/>
    <w:p w:rsidR="00193271" w:rsidRPr="00A4268A" w:rsidRDefault="00193271" w:rsidP="00621629">
      <w:pPr>
        <w:spacing w:before="240" w:line="276" w:lineRule="auto"/>
        <w:rPr>
          <w:rFonts w:eastAsia="Calibri"/>
        </w:rPr>
      </w:pPr>
    </w:p>
    <w:p w:rsidR="00460D43" w:rsidRDefault="00F14782" w:rsidP="000E6E02">
      <w:pPr>
        <w:pStyle w:val="Heading2"/>
        <w:spacing w:before="0"/>
        <w:rPr>
          <w:rFonts w:cs="Arial"/>
        </w:rPr>
      </w:pPr>
      <w:r>
        <w:rPr>
          <w:rFonts w:cs="Arial"/>
        </w:rPr>
        <w:t>Safe and appropriate environment</w:t>
      </w:r>
    </w:p>
    <w:p w:rsidR="00460D43" w:rsidRDefault="00F14782">
      <w:pPr>
        <w:spacing w:before="240" w:line="276" w:lineRule="auto"/>
        <w:rPr>
          <w:rFonts w:eastAsia="Calibri"/>
        </w:rPr>
      </w:pPr>
      <w:bookmarkStart w:id="15" w:name="SafeAndAppropriateEnvironment"/>
      <w:r w:rsidRPr="00A4268A">
        <w:rPr>
          <w:rFonts w:eastAsia="Calibri"/>
        </w:rPr>
        <w:t>Policies, procedures and education guide staff in the safe management of was</w:t>
      </w:r>
      <w:r w:rsidRPr="00A4268A">
        <w:rPr>
          <w:rFonts w:eastAsia="Calibri"/>
        </w:rPr>
        <w:t>te and hazardous substances. Protective clothing and equipment are provided where needed. The organisation has implemented processes to support sustainability.</w:t>
      </w:r>
    </w:p>
    <w:p w:rsidR="00193271" w:rsidRPr="00A4268A" w:rsidRDefault="00F14782">
      <w:pPr>
        <w:spacing w:before="240" w:line="276" w:lineRule="auto"/>
        <w:rPr>
          <w:rFonts w:eastAsia="Calibri"/>
        </w:rPr>
      </w:pPr>
      <w:r w:rsidRPr="00A4268A">
        <w:rPr>
          <w:rFonts w:eastAsia="Calibri"/>
        </w:rPr>
        <w:t>Buildings, amenities and equipment are maintained and funding is now available to replace the ol</w:t>
      </w:r>
      <w:r w:rsidRPr="00A4268A">
        <w:rPr>
          <w:rFonts w:eastAsia="Calibri"/>
        </w:rPr>
        <w:t>der buildings on the New Plymouth site. All buildings are accessible and have a current building warrant of fitness. Contingency plans ensure the organisation has backup systems to respond to any utility outages.</w:t>
      </w:r>
    </w:p>
    <w:p w:rsidR="00193271" w:rsidRPr="00A4268A" w:rsidRDefault="00F14782">
      <w:pPr>
        <w:spacing w:before="240" w:line="276" w:lineRule="auto"/>
        <w:rPr>
          <w:rFonts w:eastAsia="Calibri"/>
        </w:rPr>
      </w:pPr>
      <w:r w:rsidRPr="00A4268A">
        <w:rPr>
          <w:rFonts w:eastAsia="Calibri"/>
        </w:rPr>
        <w:t>Fire and emergency management systems are r</w:t>
      </w:r>
      <w:r w:rsidRPr="00A4268A">
        <w:rPr>
          <w:rFonts w:eastAsia="Calibri"/>
        </w:rPr>
        <w:t>egularly reviewed and evacuation information for staff, patients and visitors is displayed throughout the facilities. Staff confirmed they are involved in education, trial evacuations and emergency response scenarios. There are security systems in place.</w:t>
      </w:r>
    </w:p>
    <w:bookmarkEnd w:id="15"/>
    <w:p w:rsidR="00193271" w:rsidRPr="00A4268A" w:rsidRDefault="00193271">
      <w:pPr>
        <w:spacing w:before="240" w:line="276" w:lineRule="auto"/>
        <w:rPr>
          <w:rFonts w:eastAsia="Calibri"/>
        </w:rPr>
      </w:pPr>
    </w:p>
    <w:p w:rsidR="00460D43" w:rsidRDefault="00F14782" w:rsidP="000E6E02">
      <w:pPr>
        <w:pStyle w:val="Heading2"/>
        <w:spacing w:before="0"/>
        <w:rPr>
          <w:rFonts w:cs="Arial"/>
        </w:rPr>
      </w:pPr>
      <w:r>
        <w:rPr>
          <w:rFonts w:cs="Arial"/>
        </w:rPr>
        <w:t>Restraint minimisation and safe practice</w:t>
      </w:r>
    </w:p>
    <w:p w:rsidR="00460D43" w:rsidRDefault="00F14782">
      <w:pPr>
        <w:spacing w:before="240" w:line="276" w:lineRule="auto"/>
        <w:rPr>
          <w:rFonts w:eastAsia="Calibri"/>
        </w:rPr>
      </w:pPr>
      <w:bookmarkStart w:id="16" w:name="RestraintMinimisationAndSafePractice"/>
      <w:r w:rsidRPr="00A4268A">
        <w:rPr>
          <w:rFonts w:eastAsia="Calibri"/>
        </w:rPr>
        <w:t>The restraint minimisation and safe practice policies and procedures are available to staff. The definitions of restraint and enabler align with the restraint minimisation and safe practice standards. There are a range of approved restraints and enabl</w:t>
      </w:r>
      <w:r w:rsidRPr="00A4268A">
        <w:rPr>
          <w:rFonts w:eastAsia="Calibri"/>
        </w:rPr>
        <w:t xml:space="preserve">ers for use in the general clinical services and specific restraints approved for the mental health service. </w:t>
      </w:r>
    </w:p>
    <w:p w:rsidR="00193271" w:rsidRPr="00A4268A" w:rsidRDefault="00F14782">
      <w:pPr>
        <w:spacing w:before="240" w:line="276" w:lineRule="auto"/>
        <w:rPr>
          <w:rFonts w:eastAsia="Calibri"/>
        </w:rPr>
      </w:pPr>
      <w:r w:rsidRPr="00A4268A">
        <w:rPr>
          <w:rFonts w:eastAsia="Calibri"/>
        </w:rPr>
        <w:lastRenderedPageBreak/>
        <w:t>There is a restraint minimisation committee that has responsibility for the oversight of restraint minimisation within the whole organisation.</w:t>
      </w:r>
    </w:p>
    <w:p w:rsidR="00193271" w:rsidRPr="00A4268A" w:rsidRDefault="00F14782">
      <w:pPr>
        <w:spacing w:before="240" w:line="276" w:lineRule="auto"/>
        <w:rPr>
          <w:rFonts w:eastAsia="Calibri"/>
        </w:rPr>
      </w:pPr>
      <w:r w:rsidRPr="00A4268A">
        <w:rPr>
          <w:rFonts w:eastAsia="Calibri"/>
        </w:rPr>
        <w:t>Res</w:t>
      </w:r>
      <w:r w:rsidRPr="00A4268A">
        <w:rPr>
          <w:rFonts w:eastAsia="Calibri"/>
        </w:rPr>
        <w:t>traint education and training is provided to staff within the organisation.</w:t>
      </w:r>
    </w:p>
    <w:bookmarkEnd w:id="16"/>
    <w:p w:rsidR="00193271" w:rsidRPr="00A4268A" w:rsidRDefault="00193271">
      <w:pPr>
        <w:spacing w:before="240" w:line="276" w:lineRule="auto"/>
        <w:rPr>
          <w:rFonts w:eastAsia="Calibri"/>
        </w:rPr>
      </w:pPr>
    </w:p>
    <w:p w:rsidR="00460D43" w:rsidRDefault="00F14782" w:rsidP="000E6E02">
      <w:pPr>
        <w:pStyle w:val="Heading2"/>
        <w:spacing w:before="0"/>
        <w:rPr>
          <w:rFonts w:cs="Arial"/>
        </w:rPr>
      </w:pPr>
      <w:r>
        <w:rPr>
          <w:rFonts w:cs="Arial"/>
        </w:rPr>
        <w:t>Infection prevention and control</w:t>
      </w:r>
    </w:p>
    <w:p w:rsidR="00460D43" w:rsidRDefault="00F14782">
      <w:pPr>
        <w:spacing w:before="240" w:line="276" w:lineRule="auto"/>
        <w:rPr>
          <w:rFonts w:eastAsia="Calibri"/>
        </w:rPr>
      </w:pPr>
      <w:bookmarkStart w:id="17" w:name="InfectionPreventionAndControl"/>
      <w:r w:rsidRPr="00A4268A">
        <w:rPr>
          <w:rFonts w:eastAsia="Calibri"/>
        </w:rPr>
        <w:t xml:space="preserve">The </w:t>
      </w:r>
      <w:r w:rsidRPr="00A4268A">
        <w:rPr>
          <w:rFonts w:eastAsia="Calibri"/>
        </w:rPr>
        <w:t>organisation has an established infection prevention and control programme led by experienced practitioners. Educational infection prevention and control resources are available for patients and visitors. Surveillance data from across Taranaki District Hea</w:t>
      </w:r>
      <w:r w:rsidRPr="00A4268A">
        <w:rPr>
          <w:rFonts w:eastAsia="Calibri"/>
        </w:rPr>
        <w:t>lth Board is collated, analysed and reported.</w:t>
      </w:r>
      <w:bookmarkStart w:id="18" w:name="_GoBack"/>
      <w:bookmarkEnd w:id="18"/>
    </w:p>
    <w:bookmarkEnd w:id="17"/>
    <w:sectPr w:rsidR="00460D43"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14782">
      <w:r>
        <w:separator/>
      </w:r>
    </w:p>
  </w:endnote>
  <w:endnote w:type="continuationSeparator" w:id="0">
    <w:p w:rsidR="00000000" w:rsidRDefault="00F1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4782">
    <w:pPr>
      <w:pStyle w:val="Footer"/>
    </w:pPr>
  </w:p>
  <w:p w:rsidR="005A4A55" w:rsidRDefault="00F14782"/>
  <w:p w:rsidR="005A4A55" w:rsidRDefault="00F1478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F14782"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Taranaki District Health Board</w:t>
    </w:r>
    <w:bookmarkEnd w:id="19"/>
    <w:r>
      <w:rPr>
        <w:rFonts w:cs="Arial"/>
        <w:sz w:val="16"/>
        <w:szCs w:val="20"/>
      </w:rPr>
      <w:tab/>
      <w:t xml:space="preserve">Date of Audit: </w:t>
    </w:r>
    <w:bookmarkStart w:id="20" w:name="AuditStartDate1"/>
    <w:r>
      <w:rPr>
        <w:rFonts w:cs="Arial"/>
        <w:sz w:val="16"/>
        <w:szCs w:val="20"/>
      </w:rPr>
      <w:t>22 October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F147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14782">
      <w:r>
        <w:separator/>
      </w:r>
    </w:p>
  </w:footnote>
  <w:footnote w:type="continuationSeparator" w:id="0">
    <w:p w:rsidR="00000000" w:rsidRDefault="00F1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4782">
    <w:pPr>
      <w:pStyle w:val="Header"/>
    </w:pPr>
  </w:p>
  <w:p w:rsidR="005A4A55" w:rsidRDefault="00F147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4782">
    <w:pPr>
      <w:pStyle w:val="Header"/>
    </w:pPr>
  </w:p>
  <w:p w:rsidR="005A4A55" w:rsidRDefault="00F147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FC142580">
      <w:start w:val="1"/>
      <w:numFmt w:val="decimal"/>
      <w:lvlText w:val="%1."/>
      <w:lvlJc w:val="left"/>
      <w:pPr>
        <w:ind w:left="360" w:hanging="360"/>
      </w:pPr>
    </w:lvl>
    <w:lvl w:ilvl="1" w:tplc="035E768E" w:tentative="1">
      <w:start w:val="1"/>
      <w:numFmt w:val="lowerLetter"/>
      <w:lvlText w:val="%2."/>
      <w:lvlJc w:val="left"/>
      <w:pPr>
        <w:ind w:left="1080" w:hanging="360"/>
      </w:pPr>
    </w:lvl>
    <w:lvl w:ilvl="2" w:tplc="85BA954A" w:tentative="1">
      <w:start w:val="1"/>
      <w:numFmt w:val="lowerRoman"/>
      <w:lvlText w:val="%3."/>
      <w:lvlJc w:val="right"/>
      <w:pPr>
        <w:ind w:left="1800" w:hanging="180"/>
      </w:pPr>
    </w:lvl>
    <w:lvl w:ilvl="3" w:tplc="C0503FA0" w:tentative="1">
      <w:start w:val="1"/>
      <w:numFmt w:val="decimal"/>
      <w:lvlText w:val="%4."/>
      <w:lvlJc w:val="left"/>
      <w:pPr>
        <w:ind w:left="2520" w:hanging="360"/>
      </w:pPr>
    </w:lvl>
    <w:lvl w:ilvl="4" w:tplc="7184653C" w:tentative="1">
      <w:start w:val="1"/>
      <w:numFmt w:val="lowerLetter"/>
      <w:lvlText w:val="%5."/>
      <w:lvlJc w:val="left"/>
      <w:pPr>
        <w:ind w:left="3240" w:hanging="360"/>
      </w:pPr>
    </w:lvl>
    <w:lvl w:ilvl="5" w:tplc="3EC80F0C" w:tentative="1">
      <w:start w:val="1"/>
      <w:numFmt w:val="lowerRoman"/>
      <w:lvlText w:val="%6."/>
      <w:lvlJc w:val="right"/>
      <w:pPr>
        <w:ind w:left="3960" w:hanging="180"/>
      </w:pPr>
    </w:lvl>
    <w:lvl w:ilvl="6" w:tplc="92A8C3AC" w:tentative="1">
      <w:start w:val="1"/>
      <w:numFmt w:val="decimal"/>
      <w:lvlText w:val="%7."/>
      <w:lvlJc w:val="left"/>
      <w:pPr>
        <w:ind w:left="4680" w:hanging="360"/>
      </w:pPr>
    </w:lvl>
    <w:lvl w:ilvl="7" w:tplc="5992B8C0" w:tentative="1">
      <w:start w:val="1"/>
      <w:numFmt w:val="lowerLetter"/>
      <w:lvlText w:val="%8."/>
      <w:lvlJc w:val="left"/>
      <w:pPr>
        <w:ind w:left="5400" w:hanging="360"/>
      </w:pPr>
    </w:lvl>
    <w:lvl w:ilvl="8" w:tplc="1C543B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80A6250">
      <w:start w:val="1"/>
      <w:numFmt w:val="bullet"/>
      <w:lvlText w:val=""/>
      <w:lvlJc w:val="left"/>
      <w:pPr>
        <w:ind w:left="720" w:hanging="360"/>
      </w:pPr>
      <w:rPr>
        <w:rFonts w:ascii="Symbol" w:hAnsi="Symbol" w:hint="default"/>
      </w:rPr>
    </w:lvl>
    <w:lvl w:ilvl="1" w:tplc="32F68628" w:tentative="1">
      <w:start w:val="1"/>
      <w:numFmt w:val="bullet"/>
      <w:lvlText w:val="o"/>
      <w:lvlJc w:val="left"/>
      <w:pPr>
        <w:ind w:left="1440" w:hanging="360"/>
      </w:pPr>
      <w:rPr>
        <w:rFonts w:ascii="Courier New" w:hAnsi="Courier New" w:cs="Courier New" w:hint="default"/>
      </w:rPr>
    </w:lvl>
    <w:lvl w:ilvl="2" w:tplc="399A4B74" w:tentative="1">
      <w:start w:val="1"/>
      <w:numFmt w:val="bullet"/>
      <w:lvlText w:val=""/>
      <w:lvlJc w:val="left"/>
      <w:pPr>
        <w:ind w:left="2160" w:hanging="360"/>
      </w:pPr>
      <w:rPr>
        <w:rFonts w:ascii="Wingdings" w:hAnsi="Wingdings" w:hint="default"/>
      </w:rPr>
    </w:lvl>
    <w:lvl w:ilvl="3" w:tplc="0FF22E76" w:tentative="1">
      <w:start w:val="1"/>
      <w:numFmt w:val="bullet"/>
      <w:lvlText w:val=""/>
      <w:lvlJc w:val="left"/>
      <w:pPr>
        <w:ind w:left="2880" w:hanging="360"/>
      </w:pPr>
      <w:rPr>
        <w:rFonts w:ascii="Symbol" w:hAnsi="Symbol" w:hint="default"/>
      </w:rPr>
    </w:lvl>
    <w:lvl w:ilvl="4" w:tplc="AD808CDC" w:tentative="1">
      <w:start w:val="1"/>
      <w:numFmt w:val="bullet"/>
      <w:lvlText w:val="o"/>
      <w:lvlJc w:val="left"/>
      <w:pPr>
        <w:ind w:left="3600" w:hanging="360"/>
      </w:pPr>
      <w:rPr>
        <w:rFonts w:ascii="Courier New" w:hAnsi="Courier New" w:cs="Courier New" w:hint="default"/>
      </w:rPr>
    </w:lvl>
    <w:lvl w:ilvl="5" w:tplc="4E9AF43E" w:tentative="1">
      <w:start w:val="1"/>
      <w:numFmt w:val="bullet"/>
      <w:lvlText w:val=""/>
      <w:lvlJc w:val="left"/>
      <w:pPr>
        <w:ind w:left="4320" w:hanging="360"/>
      </w:pPr>
      <w:rPr>
        <w:rFonts w:ascii="Wingdings" w:hAnsi="Wingdings" w:hint="default"/>
      </w:rPr>
    </w:lvl>
    <w:lvl w:ilvl="6" w:tplc="AF3C359C" w:tentative="1">
      <w:start w:val="1"/>
      <w:numFmt w:val="bullet"/>
      <w:lvlText w:val=""/>
      <w:lvlJc w:val="left"/>
      <w:pPr>
        <w:ind w:left="5040" w:hanging="360"/>
      </w:pPr>
      <w:rPr>
        <w:rFonts w:ascii="Symbol" w:hAnsi="Symbol" w:hint="default"/>
      </w:rPr>
    </w:lvl>
    <w:lvl w:ilvl="7" w:tplc="2F264CD0" w:tentative="1">
      <w:start w:val="1"/>
      <w:numFmt w:val="bullet"/>
      <w:lvlText w:val="o"/>
      <w:lvlJc w:val="left"/>
      <w:pPr>
        <w:ind w:left="5760" w:hanging="360"/>
      </w:pPr>
      <w:rPr>
        <w:rFonts w:ascii="Courier New" w:hAnsi="Courier New" w:cs="Courier New" w:hint="default"/>
      </w:rPr>
    </w:lvl>
    <w:lvl w:ilvl="8" w:tplc="1990247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271"/>
    <w:rsid w:val="00193271"/>
    <w:rsid w:val="004C2A7C"/>
    <w:rsid w:val="00F147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6C8CE-C67D-4453-BF76-7C9C7F2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FB16-3E4C-4F8B-AF04-4F6B194F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Katrina Lenzie-Smith</cp:lastModifiedBy>
  <cp:revision>2</cp:revision>
  <dcterms:created xsi:type="dcterms:W3CDTF">2019-12-05T03:12:00Z</dcterms:created>
  <dcterms:modified xsi:type="dcterms:W3CDTF">2019-12-05T03:12:00Z</dcterms:modified>
</cp:coreProperties>
</file>