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Aspiring Enliven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Aspiring Enliven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September 2019</w:t>
      </w:r>
      <w:bookmarkEnd w:id="7"/>
      <w:r w:rsidRPr="009418D4">
        <w:rPr>
          <w:rFonts w:cs="Arial"/>
        </w:rPr>
        <w:tab/>
        <w:t xml:space="preserve">End date: </w:t>
      </w:r>
      <w:bookmarkStart w:id="8" w:name="AuditEndDate"/>
      <w:r w:rsidR="00A4268A">
        <w:rPr>
          <w:rFonts w:cs="Arial"/>
        </w:rPr>
        <w:t>25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Aspiring Enliven Care Centre (Aspiring) is part of the Presbyterian Support Otago/Enliven group.  The service provides hospital and rest home care and secure dementia care for up to 40 residents.  On the day of audit there were 38 residents.</w:t>
      </w:r>
    </w:p>
    <w:p w:rsidRPr="00A4268A">
      <w:pPr>
        <w:spacing w:before="240" w:line="276" w:lineRule="auto"/>
        <w:rPr>
          <w:rFonts w:eastAsia="Calibri"/>
        </w:rPr>
      </w:pPr>
      <w:r w:rsidRPr="00A4268A">
        <w:rPr>
          <w:rFonts w:eastAsia="Calibri"/>
        </w:rPr>
        <w:t xml:space="preserve">This unannounced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An experienced manager/RN is responsible for the oversite of the Elmslie House and Aspiring Enliven Care Centre facilities (Enliven Wanaka).  An experienced RN clinical manager works full time at Aspiring Enliven Care Centre.</w:t>
      </w:r>
    </w:p>
    <w:p w:rsidRPr="00A4268A">
      <w:pPr>
        <w:spacing w:before="240" w:line="276" w:lineRule="auto"/>
        <w:rPr>
          <w:rFonts w:eastAsia="Calibri"/>
        </w:rPr>
      </w:pPr>
      <w:r w:rsidRPr="00A4268A">
        <w:rPr>
          <w:rFonts w:eastAsia="Calibri"/>
        </w:rPr>
        <w:t>The service has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There were no areas identified for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director and management group of Presbyterian Support Otago (PSO) provide governance and support to the manager.  The quality and risk management programme include the Enliven service philosophy, goals and a quality planner.  Quality activities are conducted, which generate improvements in practice and service delivery.  Meetings are held to discuss quality and risk management processes.  Residents’ meetings are held, and residents and families are surveyed annually.  Health and safety policies, systems and processes are implemented to manage risk.  Incidents and accidents are reported.  An orientation programme is in place for new staff.  Ongoing education and training are in place, which includes in-service education and competency assessments.  Appropriate employment processes are adhered to and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to both dementia and rest home/hospital level residents and coordinated by the activity staff.  All meals are prepared off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displays a current building warrant of fitness.  Electrical equipment is tested and tagged.  All medical equipment has been calibrated and checked.  There is enough room throughout the service for residents to mobilise safely.  Pathways, seating and grounds appear well maintained.  Outdoor hazards have been identified in the hazard register.  Hot water temperatures are monitored and recorded monthly.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appropriate procedures and documents for the safe assessment, planning, monitoring and review of restraint and enablers.    There were no residents with restraint and no residents using an enabler.  Staff regularly receive training around restraint minimisation and the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Documented policies and procedures are in place for the prevention and control of infection and reflect current accepted good practice and legislative requirements.  The type of surveillance undertaken is appropriate to the size and complexity of the organisation.  Results of surveillance are acted-upon,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6"/>
        <w:gridCol w:w="1280"/>
        <w:gridCol w:w="99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complaints policy and procedures in place and residents and their family/whānau are provided with information on the complaints process on admission through the information pack.  Complaint forms are available at the entrance of the service.  Clinical staff interviewed (one registered nurse, three caregivers and an activities person)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all complaints, both verbal and written is maintained on an electronic database.  Both complaints had been managed in line with Right 10 of the Code.  A review of complaints documentation evidenced resolution of the complaint to the satisfaction of the complainant and advocacy offered.  Residents (two rest home and two hospital)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two family members interviewed for the dementia unit commented that they felt they had not needed to complain as the service was very proactive with following up any issues identified, and they had received complaints information.  The rest home (one) and hospital relative (one) also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manager and clinical manager confirmed family are kept informed.  Relatives (one hospital, one rest home and two with family in the dementia unit) stated they are notified promptly of any incidents/accidents.  Residents/relatives have the opportunity to feedback on service delivery through annual surveys and open-door communication with management.  On the day of audit, it was noted that the clinical manager and manager were readily available to all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and been fully communicated with around the recent building works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An information pack is available that included information around dementia services.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Aspiring Enliven Care Centre (Aspiring) is part of the Presbyterian Support Otago/Enliven group.  Aspiring provides care for up to 40 residents.  The Cardrona unit is a 20-bed rest home and hospital unit (all dual-purpose rooms) and Hawea is a 20-bed secure dementia unit.   On the day of the audit there were 38 residents; 12 hospital residents and six rest home residents in Cardrona unit.  Hawea (secure dementia unit) had full occupancy.  All residents were funded through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Otago has a current strategic plan, a business plan and a quality plan 2019-2020.  The plan was displayed on the wall along with one of the ‘principle of the month’ (respect, relationships, security, choice, contribution and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clearly defined, and measurable goals developed for the business and quality plans.  The director and management group of PSO provides governance and support to the manager.  Enliven Wanaka comprises of Elmslie House and Aspiring Care Centre. </w:t>
            </w:r>
          </w:p>
          <w:p w:rsidR="00EB7645" w:rsidRPr="00BE00C7" w:rsidP="00BE00C7">
            <w:pPr>
              <w:pStyle w:val="OutcomeDescription"/>
              <w:spacing w:before="120" w:after="120"/>
              <w:rPr>
                <w:rFonts w:cs="Arial"/>
                <w:b w:val="0"/>
                <w:lang w:eastAsia="en-NZ"/>
              </w:rPr>
            </w:pPr>
            <w:r w:rsidRPr="00BE00C7">
              <w:rPr>
                <w:rFonts w:cs="Arial"/>
                <w:b w:val="0"/>
                <w:lang w:eastAsia="en-NZ"/>
              </w:rPr>
              <w:t>An experienced manager/RN is responsible for the oversite of the Elmslie House and Aspiring Enliven Care Centre facilities (Enliven Wanaka).  The manager has experience in management and aged care and divides her time equally between the two facilities.  An experienced RN clinical manager works full time at Aspiring, she has worked for PSO for eight years and has been in the role at Aspiring since it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coordinator have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assurance that the facility is meeting accepted good practice and adhering to relevant standards, including those standards relating to the Health and Disability Services (Safety) Act 2001.  Policies are regularly reviewed by the organisation clinical governance advisory group (CGAG).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Enliven Wanaka (Elmslie House and Aspiring Enliven Care Centre facilities) have fully implemented the PSO quality system.  The two services have joint meetings including’ RN meetings, quality/health and safety meetings and infection control meetings.  Progress with the quality assurance and risk management programme is monitored through the various facility meetings.  Minutes are maintained and staff are expected to read the minutes and sign off when read.  Minutes for all meetings include actions to achieve compliance where relevant.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RN and caregivers confirmed their involvement in the quality programme.  Workstreams to improve clinical outcomes have been developed and recently implemented.  Examples of workstreams include; falls prevention and pressure injury prevention as well as information technology.  Representatives from both facilities are included on the workstream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being implemented.  Areas of non-compliance identified at audits are actioned for improvement.  A resident survey and a family survey were last conducted 2018.  The survey evidences an overall high level of satisfaction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Risk management plans are in place for the organisation and there are specific plans for risk and hazard management for the facility.  There are designated health and safety staff representatives.  The service collects information on resident incidents and accidents as well as staff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such as falls risk assessment, medication review, education for staff, physiotherapy assessment, use of appropriate footwear, increased supervision and sensor mats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is collected, analysed and benchmarked through the PSO internal benchmarking programme.  A sample of seven fall related resident incident reports were reviewed.  All reports and corresponding resident files reviewed, evidence that appropriate clinical care was provided following an incident, including neurological observations where required.  Incident reports were completed, and family notified as appropriate.  The clinical manager reviews all new and ongoing incident forms electronically on a daily basis to ensure follow up prior to her sign off.  One frequent faller was reviewed.   As part of the incident follow-up, a new toileting plan was developed.  Caregivers stated that falls had reduced, but this was not able to be substantiated as the plan only commenced in August.</w:t>
            </w:r>
          </w:p>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The manager and clinical manager were aware of the responsibilities in regard to essential notifications.  A notification was sent during 2018 for a stage three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and three caregivers).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rest home and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Competencies are completed for medication management.  Staff have attended education and training sessions appropriate to their role.  There are nine RNs employed at Aspiring and six RNs have completed their interRAI training.  There are 12 care staff working in the dementia unit; six have completed the dementia unit standards, four are in the process and two have recently commenced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clinical manager and RNs are able to attend external training including conferences, seminars and sessions provided by PSO and the local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that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Aspiring has a roster in place that ensures there are sufficient staff rostered on.  There is a manager who divides her time evenly between the two Enliven Wanaka facilities.  A clinical manager works full time at Aspiring</w:t>
            </w:r>
          </w:p>
          <w:p w:rsidR="00EB7645" w:rsidRPr="00BE00C7" w:rsidP="00BE00C7">
            <w:pPr>
              <w:pStyle w:val="OutcomeDescription"/>
              <w:spacing w:before="120" w:after="120"/>
              <w:rPr>
                <w:rFonts w:cs="Arial"/>
                <w:b w:val="0"/>
                <w:lang w:eastAsia="en-NZ"/>
              </w:rPr>
            </w:pPr>
            <w:r w:rsidRPr="00BE00C7">
              <w:rPr>
                <w:rFonts w:cs="Arial"/>
                <w:b w:val="0"/>
                <w:lang w:eastAsia="en-NZ"/>
              </w:rPr>
              <w:t>There are activities staff employed seven days a week.  Kitchenhands are employed to assist with meals which are delivered from Elmslie House.  Staffing also included housekeeping staff, maintenance and administration.</w:t>
            </w:r>
          </w:p>
          <w:p w:rsidR="00EB7645" w:rsidRPr="00BE00C7" w:rsidP="00BE00C7">
            <w:pPr>
              <w:pStyle w:val="OutcomeDescription"/>
              <w:spacing w:before="120" w:after="120"/>
              <w:rPr>
                <w:rFonts w:cs="Arial"/>
                <w:b w:val="0"/>
                <w:lang w:eastAsia="en-NZ"/>
              </w:rPr>
            </w:pPr>
            <w:r w:rsidRPr="00BE00C7">
              <w:rPr>
                <w:rFonts w:cs="Arial"/>
                <w:b w:val="0"/>
                <w:lang w:eastAsia="en-NZ"/>
              </w:rPr>
              <w:t>Staffing for Cardrona wing (six rest home residents and 12 hospital level).  There is an RN on duty every shift plus, three caregivers for the AM and for the PM and one at night.</w:t>
            </w:r>
          </w:p>
          <w:p w:rsidR="00EB7645" w:rsidRPr="00BE00C7" w:rsidP="00BE00C7">
            <w:pPr>
              <w:pStyle w:val="OutcomeDescription"/>
              <w:spacing w:before="120" w:after="120"/>
              <w:rPr>
                <w:rFonts w:cs="Arial"/>
                <w:b w:val="0"/>
                <w:lang w:eastAsia="en-NZ"/>
              </w:rPr>
            </w:pPr>
            <w:r w:rsidRPr="00BE00C7">
              <w:rPr>
                <w:rFonts w:cs="Arial"/>
                <w:b w:val="0"/>
                <w:lang w:eastAsia="en-NZ"/>
              </w:rPr>
              <w:t>Hawea (dementia unit) with an occupancy of 20 residents.  There is an RN on duty over four shifts a week (three mornings and one afternoon) plus three caregivers for the AM and for the PM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management policies and procedures in place, which follow recognised standards and guidelines for safe medicine management practice.  All medications were stored securely in both the dementia and hospital/rest home units.  Medications are checked as part of a monthly medication audit.  Equipment such as oxygen is routinely checked.  All eye drops were dated at opening.  No expired medications were noted on the trolley or medication storage shelves.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medication round was observed in the hospital unit the registered nurse followed procedure that was correct and safe.  Registered nurses and caregivers who have been assessed as competent 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administration system.  The prescriber documents medication orders in the system.  All ten medication files reviewed in the electronic system demonstrated safe medication documentation and practices.  The self-medicating policy includes procedures on the safe administration of medicines.  Currently one resident self-administers; medications were stored securely, and the self-medication assessment had been reviewed three monthly by the RN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Meals for the Aspiring site are cooked in the Elmslie kitchen.  All meals are temperature checked prior to serving.  Kitchenhands are employed to prepare the delivered meals and reheat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dietitian is employed by Presbyterian Support Otago (PSO) and there is dietitian input into the provision of special menus and diets where required.  A full dietary assessment is completed on all residents at the time they are admitted.  The dietitian reviews residents with weight loss every one-to-two months.  Residents with special dietary needs have these needs identified in their care plans and these needs are reviewed periodically, as part of the care planning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Information via VCare is sent to the kitchen alerting the food service manager of any special diets, likes and dislikes, or meal texture required.  Resident meetings discuss food as part of their meetings.  Residents stated they had some choice in meals offered and both residents and relatives expressed satisfaction with meals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is available.  Internal audits are undertaken, and the food service manager could describe the audit processes. </w:t>
            </w:r>
          </w:p>
          <w:p w:rsidR="00EB7645" w:rsidRPr="00BE00C7" w:rsidP="00BE00C7">
            <w:pPr>
              <w:pStyle w:val="OutcomeDescription"/>
              <w:spacing w:before="120" w:after="120"/>
              <w:rPr>
                <w:rFonts w:cs="Arial"/>
                <w:b w:val="0"/>
                <w:lang w:eastAsia="en-NZ"/>
              </w:rPr>
            </w:pPr>
            <w:r w:rsidRPr="00BE00C7">
              <w:rPr>
                <w:rFonts w:cs="Arial"/>
                <w:b w:val="0"/>
                <w:lang w:eastAsia="en-NZ"/>
              </w:rPr>
              <w:t>Snacks and drinks were available in the dementia unit and the hospital and rest home unit kitchen at any time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provided continues to be consistent with the needs of residents as demonstrated on the overview of the care plans, discussion with the GP, family, residents, staff and management.  Residents with behaviours that challenge included comprehensive care plan interventions to manage, including triggers.</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cupboard is stocked for use.  Continence products are available and resident files included a urinary continence assessment, bowel management, and continence products identified for day use, night use, and other management.  Specialist continence advice is available as needed and this could be described.  Continence management in-service and wound management in-service has been provided as part of annual training.  Registered nurses interviewed could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were seven wounds logged on the computer-based system at the time of audit including one pressure injury.  The pressure injury was originally a facility-acquired stage three (identified 2018 and a section 31 was sent).  The pressure injury has continued to improve and is now a stage two.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were in place for residents with wounds, each wound had a separate wound assessment and management plan and all wounds have been evaluated according to timeframes.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(but were not limited to); food/fluid, weights, behaviours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Aspiring employs two activities coordinators who provide activities in the rest home/hospital over six days a week and activities over seven days a week in the dementia unit. There is a specific activity plan for each of the two areas.     </w:t>
            </w:r>
          </w:p>
          <w:p w:rsidR="00EB7645" w:rsidRPr="00BE00C7" w:rsidP="00BE00C7">
            <w:pPr>
              <w:pStyle w:val="OutcomeDescription"/>
              <w:spacing w:before="120" w:after="120"/>
              <w:rPr>
                <w:rFonts w:cs="Arial"/>
                <w:b w:val="0"/>
                <w:lang w:eastAsia="en-NZ"/>
              </w:rPr>
            </w:pPr>
            <w:r w:rsidRPr="00BE00C7">
              <w:rPr>
                <w:rFonts w:cs="Arial"/>
                <w:b w:val="0"/>
                <w:lang w:eastAsia="en-NZ"/>
              </w:rPr>
              <w:t>On or soon after admission, a social history is taken and information from this is added into the lifestyle support plan.  Reviews are conducted six-monthly as part of the care plan review/evaluation.  A record is kept of individual resident’s activities and progress notes completed.  The resident/family/EPOA as appropriate is involved in the development of the activity plan.  There is a wide range of activities offered with separate activity programmes for each of the two units</w:t>
            </w:r>
          </w:p>
          <w:p w:rsidR="00EB7645" w:rsidRPr="00BE00C7" w:rsidP="00BE00C7">
            <w:pPr>
              <w:pStyle w:val="OutcomeDescription"/>
              <w:spacing w:before="120" w:after="120"/>
              <w:rPr>
                <w:rFonts w:cs="Arial"/>
                <w:b w:val="0"/>
                <w:lang w:eastAsia="en-NZ"/>
              </w:rPr>
            </w:pPr>
            <w:r w:rsidRPr="00BE00C7">
              <w:rPr>
                <w:rFonts w:cs="Arial"/>
                <w:b w:val="0"/>
                <w:lang w:eastAsia="en-NZ"/>
              </w:rPr>
              <w:t>Programmes in the dementia unit included; van trips, gardening, church services, happy hours, music and news.  The activity coordinator explained that activities in the dementia unit are often changed depending on the day and the residents.  It was observed that that residents in the dementia unit were provided with a variety of activities led by the activity’s person and/or the caregivers.  Each resident also had a 24-hour individualised activity plan documented.</w:t>
            </w:r>
          </w:p>
          <w:p w:rsidR="00EB7645" w:rsidRPr="00BE00C7" w:rsidP="00BE00C7">
            <w:pPr>
              <w:pStyle w:val="OutcomeDescription"/>
              <w:spacing w:before="120" w:after="120"/>
              <w:rPr>
                <w:rFonts w:cs="Arial"/>
                <w:b w:val="0"/>
                <w:lang w:eastAsia="en-NZ"/>
              </w:rPr>
            </w:pPr>
            <w:r w:rsidRPr="00BE00C7">
              <w:rPr>
                <w:rFonts w:cs="Arial"/>
                <w:b w:val="0"/>
                <w:lang w:eastAsia="en-NZ"/>
              </w:rPr>
              <w:t>A wide variety of activities was documented for the hospital and rest home.  The activities are suited to the needs of residents who stated they enjoy them.  High needs hospital level care residents also have activities aimed towards their needs such as hand massages and pamper sessions.  They are also included in the main activities and assisted to join in as much as they are able, including happy hour.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shares a van with the sister facility, also in Wanaka.  The activities coordinator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developed around the interests of the residents.  Resident meetings are held, and relatives are invited.  Feedback on the activities programme is encouraged at the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Lifestyle support plans reviewed included six monthly evaluations that documented the response to various interventions.  Reassessments completed at six months included computer-based assessment tools and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medical notes identified GPs had completed reviews at least three-monthly.  Short-term care plans were in use for acute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which expires on 30 September 2020.  Electrical equipment is tested and tagged.  All medical equipment has been calibrated and checked.</w:t>
            </w:r>
          </w:p>
          <w:p w:rsidR="00EB7645" w:rsidRPr="00BE00C7" w:rsidP="00BE00C7">
            <w:pPr>
              <w:pStyle w:val="OutcomeDescription"/>
              <w:spacing w:before="120" w:after="120"/>
              <w:rPr>
                <w:rFonts w:cs="Arial"/>
                <w:b w:val="0"/>
                <w:lang w:eastAsia="en-NZ"/>
              </w:rPr>
            </w:pPr>
            <w:r w:rsidRPr="00BE00C7">
              <w:rPr>
                <w:rFonts w:cs="Arial"/>
                <w:b w:val="0"/>
                <w:lang w:eastAsia="en-NZ"/>
              </w:rPr>
              <w:t>There is a maintenance person that works for both Elmslie House and Aspiring Enliven Care Centre.  Daily maintenance requests are addressed, and a 12-month planned maintenance schedule is in place at Aspiring.</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residents are encouraged to personalise their own space with resident’s rooms displaying their own personal possessions.  There is enough room throughout the service for residents to mobilise safely.  Floor surfaces are appropriate, and equipment is obtained as identified.  There is a large outside courtyard area with seating, tables and umbrellas available.  Pathways, seating and grounds appear well maintained.  Outdoor hazards have been identified in the hazard register.  Hot water temperatures are monitored and recorded monthly.  The dementia unit and garden were secure and safe.</w:t>
            </w:r>
          </w:p>
          <w:p w:rsidR="00EB7645" w:rsidRPr="00BE00C7" w:rsidP="00BE00C7">
            <w:pPr>
              <w:pStyle w:val="OutcomeDescription"/>
              <w:spacing w:before="120" w:after="120"/>
              <w:rPr>
                <w:rFonts w:cs="Arial"/>
                <w:b w:val="0"/>
                <w:lang w:eastAsia="en-NZ"/>
              </w:rPr>
            </w:pPr>
            <w:r w:rsidRPr="00BE00C7">
              <w:rPr>
                <w:rFonts w:cs="Arial"/>
                <w:b w:val="0"/>
                <w:lang w:eastAsia="en-NZ"/>
              </w:rPr>
              <w:t>A new wing has been built and is currently waiting for approval and CPU.  This area is closed off.  The hazard register has included the new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the infection monitoring policy.  Monthly infection data is collected for all infections.  The infection prevention and control (IPC) coordinator receives surveillance data that is collated monthly, including strategies for corrective actions.  Antibiotic use is collated six-monthly and the outcome linked to RN training.  Infection control meetings are joint meetings between PSO Elmslie House and PSO Aspiring.</w:t>
            </w:r>
          </w:p>
          <w:p w:rsidR="00EB7645" w:rsidRPr="00BE00C7" w:rsidP="00BE00C7">
            <w:pPr>
              <w:pStyle w:val="OutcomeDescription"/>
              <w:spacing w:before="120" w:after="120"/>
              <w:rPr>
                <w:rFonts w:cs="Arial"/>
                <w:b w:val="0"/>
                <w:lang w:eastAsia="en-NZ"/>
              </w:rPr>
            </w:pPr>
            <w:r w:rsidRPr="00BE00C7">
              <w:rPr>
                <w:rFonts w:cs="Arial"/>
                <w:b w:val="0"/>
                <w:lang w:eastAsia="en-NZ"/>
              </w:rPr>
              <w:t>Individual short-term care plans are available for each type of infection.  Surveillance of all infections is entered onto a monthly infection summary.  This data is monitored and evaluated monthly, three-monthly and annually.  Outcomes and actions are discussed at staff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three-monthly infection report is provided to the PSO clinical governance group.  Infection rates are benchmarked by QPS benchmarking service.  If there is an emergent issue, it is acted-upon in a timely manner.  Reports are easily accessible to the manager and to organisational management.  There have been no outbreaks reported since the service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are comprehensive and include definitions, processes and use of restraints and enablers.  There were no residents with restraint and no residents using an enabler.  Staff training is in place around restraint minimisation and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Aspiring Enliven Care Centre</w:t>
    </w:r>
    <w:bookmarkEnd w:id="58"/>
    <w:r>
      <w:rPr>
        <w:rFonts w:cs="Arial"/>
        <w:sz w:val="16"/>
        <w:szCs w:val="20"/>
      </w:rPr>
      <w:tab/>
      <w:t xml:space="preserve">Date of Audit: </w:t>
    </w:r>
    <w:bookmarkStart w:id="59" w:name="AuditStartDate1"/>
    <w:r>
      <w:rPr>
        <w:rFonts w:cs="Arial"/>
        <w:sz w:val="16"/>
        <w:szCs w:val="20"/>
      </w:rPr>
      <w:t>24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