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G&amp;M Wellbeing Limited - Dominion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G&amp;M Wellbeing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Dominion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September 2019</w:t>
      </w:r>
      <w:bookmarkEnd w:id="7"/>
      <w:r w:rsidRPr="009418D4">
        <w:rPr>
          <w:rFonts w:cs="Arial"/>
        </w:rPr>
        <w:tab/>
        <w:t xml:space="preserve">End date: </w:t>
      </w:r>
      <w:bookmarkStart w:id="8" w:name="AuditEndDate"/>
      <w:r w:rsidR="00A4268A">
        <w:rPr>
          <w:rFonts w:cs="Arial"/>
        </w:rPr>
        <w:t>18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Dominium Home provides dementia level of care for up to 29 residents.  On the day of audit there were 27 residents.</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contract with the district health board.  The audit process included the review of policies and procedures, the review of residents and staff files, observations, and interviews with residents, family, management, general practitioner and staff.  </w:t>
      </w:r>
    </w:p>
    <w:p w:rsidRPr="00A4268A">
      <w:pPr>
        <w:spacing w:before="240" w:line="276" w:lineRule="auto"/>
        <w:rPr>
          <w:rFonts w:eastAsia="Calibri"/>
        </w:rPr>
      </w:pPr>
      <w:r w:rsidRPr="00A4268A">
        <w:rPr>
          <w:rFonts w:eastAsia="Calibri"/>
        </w:rPr>
        <w:t>The service is managed by an owner/manager/registered nurse (RN) and a facility manager/RN.  Family and the GP interviewed all spoke very positively about the care and support provided.</w:t>
      </w:r>
    </w:p>
    <w:p w:rsidRPr="00A4268A">
      <w:pPr>
        <w:spacing w:before="240" w:line="276" w:lineRule="auto"/>
        <w:rPr>
          <w:rFonts w:eastAsia="Calibri"/>
        </w:rPr>
      </w:pPr>
      <w:r w:rsidRPr="00A4268A">
        <w:rPr>
          <w:rFonts w:eastAsia="Calibri"/>
        </w:rPr>
        <w:t>One improvement is required in relation to staff education and training.</w:t>
      </w:r>
    </w:p>
    <w:p w:rsidRPr="00A4268A">
      <w:pPr>
        <w:spacing w:before="240" w:line="276" w:lineRule="auto"/>
        <w:rPr>
          <w:rFonts w:eastAsia="Calibri"/>
        </w:rPr>
      </w:pPr>
      <w:r w:rsidRPr="00A4268A">
        <w:rPr>
          <w:rFonts w:eastAsia="Calibri"/>
        </w:rPr>
        <w:t>There are two areas of continuous improvement awarded around reducing the number of residents’ falls, and the activities programme and the food.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ensure that care is provided in a way that focuses on the individual, values residents' autonomy and maintains their privacy and choice.  The service complies with the Code of Health and Disability Consumers’ Rights.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service philosophy and specific aims for the year are in place.  Quality activities are regularly conducted.  Meetings are held to discuss quality and risk management processes.  Residents’ meetings are also held, and families are surveyed annually.  Incidents and accidents are reported.  An education and training programme is established.  Appropriate employment processes are adhered to and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that provides information on entry to the service.  The registered nurse is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coordinator delivers a varied activity programme to meet the individual needs, preferences and abilities of the resident groups.  The programme encourages the maintenance of community links and family participation.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and senior caregivers who administer medications have an annual competency assessment and receive annual education.  Medication charts are reviewed three monthly by the general practitioner.   </w:t>
      </w:r>
    </w:p>
    <w:p w:rsidRPr="00A4268A" w:rsidP="00621629">
      <w:pPr>
        <w:spacing w:before="240" w:line="276" w:lineRule="auto"/>
        <w:rPr>
          <w:rFonts w:eastAsia="Calibri"/>
        </w:rPr>
      </w:pPr>
      <w:r w:rsidRPr="00A4268A">
        <w:rPr>
          <w:rFonts w:eastAsia="Calibri"/>
        </w:rPr>
        <w:t>All meals and baking are prepared on site by an experienced cook.  There is a current food control plan in place.  Resident dietary needs and resident preferences are catered for.  There are nutritious snacks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All resident rooms have sufficient space to allow services to be provided and for the safe use and manoeuvring of mobility aids.  Residents rooms are personalised.  There is a large central lounge and dining that opens out into secured outdoor gardens.  Furniture is appropriate to the setting and arranged in a way that allows residents to mobilise.  Chemicals and cleaning trolleys are stored securely when not in use.  The service has implemented policies and procedures for civil defence and other emergencies.  There is a first aider on duty at all times.  Communal living areas and resident rooms are appropriately heated and ventilated.  Residents have access to natural light in their rooms and there is adequate external light in communal areas.  External garden areas are available with suitable pathways, security,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there were no residents using restraints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(owner/manager/registered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2"/>
        <w:gridCol w:w="1280"/>
        <w:gridCol w:w="101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of Health and Disability Services Consumers’ Rights (the Code) policy and procedure is implemented.  Discussions with six staff (three caregivers, one activities coordinator, one cook, and one maintenance staff) confirmed their familiarity with the Code.  Interviews with seven family members confirmed that the services being provided are in line with the Code.  Aspects of the Code are discussed at resident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informed consent and resuscitation, which meets the requirements of the Code.  All six resident files reviewed, including one resident on respite and one resident on a long-term support chronic health conditions (LTS-CHC) contract, had completed written consents and general consents signed by their enduring power of attorney (EPOA).  Advanced directives are in place where available.  There was evidence of discussion with family when the GP completed a clinically indicated not for resuscitation order where residents were deemed not to be competent.  There was a copy of the activated EPOA in all six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managers/RNs and caregivers interviewed confirmed verbal consent is obtained when delivering care.  Discussions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six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information provided during entry to the service and on complaints forms.  Advocate support is available if requested.  Interviews with staff and relatives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activities and maintain family and friends’ networks.  On interview, staff stated that residents are encouraged to build and maintain relationships.  Residents and relatives confirmed this and provided examples of a variety of community functions and groups they attend.  Visiting can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complaint forms and a complaints box available at the entrance to the facility.  Information about complaints is provided on admission.  The owner/manager, and the facility manager operate an ‘open door’ environment, evidenced in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is being implemented.  One complaint has been received in 2019 (year-to-date) and three in 2018.  Two complaints (one in 2019 and one in 2018) were reviewed.  Documentation including follow-up letters and resolution demonstrated that both complaints were managed in accordance with guidelines set by the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are linked to staff meetings.  Discussions with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Posters display the Code and leaflets are available.  On entry to the service, either the owner/manager/registered nurse (RN) or the facility manager/RN discuss aspects of the Code with the resident and the family/whānau.  The service is able to provide information about the Code in different languages and/or in large print if requested.  Written information is given to residents and next of kin/enduring power of attorney (EPOA) to read with the resident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to maintain privacy and respect of personal property.  All relatives interviewed stated the residents’ needs were met and their privacy maintained.    </w:t>
            </w:r>
          </w:p>
          <w:p w:rsidR="00EB7645" w:rsidRPr="00BE00C7" w:rsidP="00BE00C7">
            <w:pPr>
              <w:pStyle w:val="OutcomeDescription"/>
              <w:spacing w:before="120" w:after="120"/>
              <w:rPr>
                <w:rFonts w:cs="Arial"/>
                <w:b w:val="0"/>
                <w:lang w:eastAsia="en-NZ"/>
              </w:rPr>
            </w:pPr>
            <w:r w:rsidRPr="00BE00C7">
              <w:rPr>
                <w:rFonts w:cs="Arial"/>
                <w:b w:val="0"/>
                <w:lang w:eastAsia="en-NZ"/>
              </w:rPr>
              <w:t>A policy describes spiritual care.  Relatives interviewed indicated that each resident’s spiritual needs are being met.  An Anglican priest visits the facility two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received training around resident abuse and neglect.  There have been no reported instances of either.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documented for the service.  Activities include Māori entertainers.  Staff training covers cultural safety.  Discussions with care staff confirmed that they are aware of the need to respond to cultural differences.  The service is able to access Māori advisors through the district health board and has links to local kaumātua.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Te Whare Tapa Whā model was planned and implemented, centred around the activities programme (link to CI 1.3.7.1).  </w:t>
            </w:r>
          </w:p>
          <w:p w:rsidR="00EB7645" w:rsidRPr="00BE00C7" w:rsidP="00BE00C7">
            <w:pPr>
              <w:pStyle w:val="OutcomeDescription"/>
              <w:spacing w:before="120" w:after="120"/>
              <w:rPr>
                <w:rFonts w:cs="Arial"/>
                <w:b w:val="0"/>
                <w:lang w:eastAsia="en-NZ"/>
              </w:rPr>
            </w:pPr>
            <w:r w:rsidRPr="00BE00C7">
              <w:rPr>
                <w:rFonts w:cs="Arial"/>
                <w:b w:val="0"/>
                <w:lang w:eastAsia="en-NZ"/>
              </w:rPr>
              <w:t>One resident identified as Māori.  A Māori assessment has been completed that has included input from the resident and their whānau.  No specific needs were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and relatives interviewed reported that they were satisfied that their cultural and individual values were being met, and these were documented in care plans sampled.  Various cultural days are celebrated at the facility via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a code of conduct.  The owner/manager and facility manager supervise staff to ensure professional practice is maintained in the service.  The abuse and neglect processes cover harassment and exploitation.  All relatives interviewed reported that the staff respect the residents.  Job descriptions include responsibilities of the position, ethics, advocacy and legal issues.  The orientation and employee agreement provided to staff on induction includes standards of conduct/house rules.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cover pre-employment processes and the new employee’s requirement to attend orientation and ongoing in-service training.  The facility manager is responsible for coordinating the internal audit programme.  Staff meetings are conducted.  There is a regular in-service education and training programme for staff.  Staff interviewed stated that they feel supported by the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roster indicates the on-call RN when an RN is not on site.  A house general practitioner (GP) visits the facility once per week.  The service receives support from the local district health board (DHB).  Physiotherapy services are available as required.  A podiatrist visits every six to eight weeks.  The service has links with the local community and encourages residents to remain as independent as possible, respecting their limitations.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Areas of exceeding the standards were identified around reducing the number of residents’ falls (link 1.2.3.8), the activities programme (link 1.3.7.1) and meals and nutrition (link 1.3.13.1). </w:t>
            </w:r>
          </w:p>
          <w:p w:rsidR="00EB7645" w:rsidRPr="00BE00C7" w:rsidP="00BE00C7">
            <w:pPr>
              <w:pStyle w:val="OutcomeDescription"/>
              <w:spacing w:before="120" w:after="120"/>
              <w:rPr>
                <w:rFonts w:cs="Arial"/>
                <w:b w:val="0"/>
                <w:lang w:eastAsia="en-NZ"/>
              </w:rPr>
            </w:pPr>
            <w:r w:rsidRPr="00BE00C7">
              <w:rPr>
                <w:rFonts w:cs="Arial"/>
                <w:b w:val="0"/>
                <w:lang w:eastAsia="en-NZ"/>
              </w:rPr>
              <w:t>Relatives and the GP interviewed spoke very positively about the care and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stated that they and the residents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incidents/accidents forms were viewed.  The forms included a section to record family notification.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notification consent form identifies situations that family wish to be contacted.  All ten incident/accident forms reviewed indicated family were informed following an adverse event if they indicated that they wanted to be informed.  Relatives interviewed confirmed they are kept informed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required.  Family and staff are used in the first instance.  Staff and family were used as interpreters.  Communication is also available via pictures on cards.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Dominion Home provides dementia level of care to 29 residents and on the day of the audit there were 27 residents living at this facility.  In addition, there were three residents who were attending as day care residents (the facility is contracted by the DHB to accept up to 10 day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residents were on the LTS-CHC contract and one resident was on respite.  The remaining residents were on an age-related residential care services agreement (ARCC) contract.  </w:t>
            </w:r>
          </w:p>
          <w:p w:rsidR="00EB7645" w:rsidRPr="00BE00C7" w:rsidP="00BE00C7">
            <w:pPr>
              <w:pStyle w:val="OutcomeDescription"/>
              <w:spacing w:before="120" w:after="120"/>
              <w:rPr>
                <w:rFonts w:cs="Arial"/>
                <w:b w:val="0"/>
                <w:lang w:eastAsia="en-NZ"/>
              </w:rPr>
            </w:pPr>
            <w:r w:rsidRPr="00BE00C7">
              <w:rPr>
                <w:rFonts w:cs="Arial"/>
                <w:b w:val="0"/>
                <w:lang w:eastAsia="en-NZ"/>
              </w:rPr>
              <w:t>The care home has a 2019 business management plan in place that addresses establishing working relationships, improves resident occupancy, nursing documentation, the nursing station, policies and procedures, resident meals and kitchen staff, organisational culture, staff appearance and facility upgrades (internal and external).  These business objectives are reviewed by the owners and facility manager three times a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 is an RN and the facility manager is also an RN.  Both individuals work five days a week (Monday – Friday) with occasional weekend visits.  They share 24-hour call responsibilities when not available on site.  They are supported by a residential care officer who also works as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and facility manager have both attended more than eight hours per year of professional development related to their work in aged care.  They are supported through study days provided by the DHB (twice per year, six hours per session).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manager/RN and owner/manager/RN are both in charge Monday – Friday and cover for the other’s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policy and plan are implemented for the service that includes quality goals and objectives.  Quality indicator data are established for 2019.  Each indicator is linked to a goal, measure and compliance level.  Interviews with the managers and staff reflected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provided by an external consultant.  A system of document control is in place with evidence of regular reviews.  Staff are made aware of any policy changes through staff meetings,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and analysis of quality and risk data includes monitoring accidents and incidents, resident satisfaction and infection rates.  Adverse events are also trended individually by resident.  Internal audits regularly monitor compliance.  Corrective actions are documented and signed off where areas are identified for improvement.  Staff are kept informed regarding results via staff meetings and during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satisfaction surveys are completed.  The 2019 family satisfaction survey results had only three surveys returned.  Results were very positive.  High levels of satisfaction were also identified during interviews with families.  Families are reported as being very involved with the home.  For example, they assist the activities staff with activities and outings.  No corrective actions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 health and safety programme is in place, which includes managing identified hazards.  Two caregivers are designated health and safety representatives.  A health and safety management systems assessment was recently completed on 4 September 2019.  No corrective actions were identified.  Health and safety training begins during staff orientation.  It is discussed regularly in the monthly staff meetings and is a topic on the annual education calendar.  The hazard register was last reviewed on 3 December 2018.  It is updated as new hazards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identification of interventions on a case-by-case basis to minimise future falls.  Falls rates are very low following implementation of a number of strategies.  This has resulted in a rating of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resident related incident forms were reviewed (eg, challenging behaviours, falls with suspected injury to the head, medication error, absconding resident).  Each form reviewed (held electronically) indicated that immediate action had been taken, including half-hourly neurology observations for any suspected head injury.  Incident forms are signed off by an RN (eg, facility manager or owner/manager).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and analyses the data.  This information is reported to staff, evidenced in the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and owner/manager confirmed their awareness of the requirement to notify relevant authorities in relation to essential notifications with examples provided (eg, electrical power interruption, absconding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includes the recruitment and staff selection process.  Relevant checks are completed to validate the individual’s qualifications, experience and veracity.  Copies of practising certificates were sighted for the two RNs and visiting health professionals.  Five staff files (one cook, two caregivers, two floor assistants) reviewed, evidenced implementation of the recruitment process, employment contracts, completed orientation and annual performance appraisals for staff.  Staff interviewed were able to describe the orientation process and reported new staff were adequately orientated to the service.  An in-service education programme includes the RNs and external presenters as speakers.  Staff also attend DHB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owner/RN has completed her interRAI training.  There is a minimum of one first aid trained staff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caregivers and floor assistants work with the residents.  Four have completed their dementia qualification.  Seven are in the process of completing their dementia qualification.  Only one of these seven has been employed for over 18 months.  All staff have received regular in-service training and updates around challenging behaviours and caring for residents with dementia.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is in place.  The roster reviewed was for the care of 27 residents and three day care residents who were present during the audit.  Although the facility is contracted for up to 10 day care residents, the facility manager stated that they would not accept more than five with their current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staff are rostered to manage the care requirements of the residents.  There are two full-time RNs (owner/manager and facility manager with on-site cover provided Monday – Friday and occasional weekends.  An RN is rostered on-call when not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AM: There are two long shift caregivers (eight hours) and one (short shift floor assistant (0400 – 0930).  The PM shift is staffed with two long shift caregivers and one (short shift floor assistant (1530 – 1830).  The night shift is staffed with one caregiver with a second assistant on site on a sleepover shift.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staff is employed six days a week from 1030 – 1700.  One cleaner is employed five days a week (laundry services are outsourced).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staffing hours can be rostered for increased resident requirements as was noted during a recent new admission.  Staff reported that staffing levels and the skill mix were appropriate and safe.  Families interviewed advised that they felt there was sufficient staff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 and with individual password protection for electronic data.  Entries in hard copy records are legible, dated and signed by the relevant caregiver or registered nurse.  Individual resident files demonstrated service integration.  Medication records are held electronically on Medimap.  All electronic data is backed-up via cloud-based technology.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coordination service (NASC) and their level of care is established.  The owner/manager and facility manager liaise closely with the assessment team to ensure Dominion Home can meet the prospective resident’s needs.  Relatives/EPOA receive an information pack outlining services able to be provided, the admission process and entry to the service.  Family members interviewed stated that they received sufficient information on the services provided and are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agreements reviewed in six resident files sampled (one LTS-CHC, one respite, four ARCC) aligned with the ARRC.  Exclusions from the service are included in the admission agreement and the information provided at entry includes examples of how services can be accessed that were not included in the agreement.  All admission agreements had been signed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The facility uses the transfer (yellow) aged care envelope.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policy and procedures that follows recognised standards and guidelines for safe medicine management practice.  The registered nurses (owner/manager and facility manager) check medications on delivery against the medication charts.  The registered nurses and medication competent caregivers administer medications and they have completed annual medication competencies and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self-medicating residents.  The service does not use standing orders.  All medications are stored safely in a locked medication cupboard at the nurses’ station.  The medication fridge temperature is monitored daily and recorded.  The service had no controlled drugs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12 electronic medication charts reviewed had photo identification and allergies noted.  Prescribed medication is signed after being administered as witnessed on the day of the audit.  All ‘as required’ medication prescribed had indications for use documented by the GP.  Effectiveness of ‘as required’ medication administered was documented.  All the medication charts had been reviewed three-monthly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Dominion Home has a well-equipped kitchen and all baking and meals are cooked on site.  There is a full time cook that works from Monday to Friday and a casual cook that covers the weekends.  The afternoon meal is prepared by the cook, and the kitchenhand that works from 4 pm – 6 pm heats and serves it.  A kitchen service manual is located in the kitchen, which covers all aspects of food preparation, kitchen management, food safety, kitchen cleaning, and kitchen procedures.  The temperatures of refrigerators, freezers and cooked foods are monitored and recorded.  All food is labelled and stored appropriately.  All kitchen staff have attended food safety and hygiene, chemical safety and relevant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A resident nutritional profile is developed for each resident on admission and provided to the kitchen staff.  This document is reviewed at least six-monthly as part of the care plan review.  The cook meets the needs of residents who require special diets.  The kitchen staff plate the residents’ food from the bain marie in the kitchen and serve in the adjacent dining room.  There is special equipment available for residents if required.  There is good liaison between the cooks and staff on duty.  The cooks follow a three-weekly seasonal menu, which is reviewed by a dietitian annually.  Nutritional snacks are available 24/7 for residents.  The cook also leaves a bowl of fruit in the dining room for residents to help themselves.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reviewed their nutritional programme, kitchen service and delivery as a follow up on a complaint resulting in changes to the service. The service reviewed the five-week menu plan, complied a culturally diverse menu with a detailed recipe book that was approved by a dietitian. The kitchen was upgraded to include remodelling of the cupboards, a new layout, and new countertops were installed.  The kitchen and dining room area was repainted and decorated in more attractive colours.  This contributed to making the environment more conducive to eating.  Two meal seating times were commenced to allow all residents sufficient time to eat.  The resident seating and table allocation list is available to all care staff and kitchen staff to ensure all residents are catered for.  The lists assist staff in identifying which residents require assistance or setup.  The kitchenhand working from 4 pm to 8 pm is responsible for serving the evening meals, assisting residents with their meal setup and monitoring resident food and fluid intake during meal times.  All staff (kitchen and care staff) received training on nutrition, presentation of meals, serving of food, setting tables and monitoring weight loss.  The kitchen staff ensure that nutritional snacks are available 24 hours for residents.  The kitchen had a successful MPI audit and food hygiene grading.  The monthly weight monitoring charts reflected that there were no residents with identified weight loss over the past two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is recorded and should this occur, it is communicated to the resident and family (as appropriate).  The owner/manager reported that the referring agency would be advised when a resident is declined access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A range of paper-based assessments are completed as well as the interRAI assessments.  Assessments included (but are not limited to); nutritional assessment, continence, and abbey pain.  Risk assessment tools are reviewed at least three-monthly.  InterRAI assessments have been completed for all six long-term residents.  The outcomes of interRAI assessments including the risk assessments were reflected in the long-term care plans reviewed.  The activity coordinator completes a comprehensive social assessment and comprehensive activity care plan in consultation with the family and whenever possible with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five long-term care plans were developed by the registered nurse in consultation with the family/EPOA, resident if possible and care staff.  The long-term care plans are based on the outcomes of interRAI assessments and other relevant paper-based assessments (eg, three-day continence assessment).  Short-term care plans are used for short-term needs.  The care plans sampled included documented interventions to meet the resident’s assessed care needs.  The long-term care plans reviewed demonstrated allied health input into the resident’s care and well-being.  The family members interviewed confirmed they are involved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challenging behaviour care plans all had identified current abilities, level of independence, identified needs and specific behavioural management strategies documented within their care plans.  Behaviours that challenge have been identified through the assessment process.  Twenty-four-hour multidisciplinary care plans described the resident’s usual signs of wellness, changes and triggers, warning signs of behavioural changes, interventions and de-escalation techniques (including activities), for the management of challenging behaviours.  Behaviour charts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activity coordinator interviewed reported they found the care plans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(RN) and caregivers, follow the care plan and report progress against the care plan each shift at handover (witnessed).  If external nursing or allied health advice is required, the RN will initiate a referral (eg, to the district nurse, wound care specialist, or the mental health nurses).  If external medical advice is required, this will be actioned by the GPs.  Staff have access to sufficient medical supplies (eg, dressings).  Sufficient continence products are available and resident files include a three-day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wounds or pressure injuries being treated by the service on the day of the audit.  Wound assessment, monitoring and wound management forms are available.  The RNs have access to specialist nursing wound care management advice through the district nursing service and the DHB wound nurse specialist.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sighted for food/fluid, behaviours, monthly weight and vital signs, blood sugar levels, and pain.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service employs one activities coordinator from 10.30 am to 4 pm six days a week.  The activities coordinator is currently completing the diversional therapy course.  The activities coordinator is supported by the caregivers, floor aids (floor assistants) and nursing students.  The caregivers and floor assistants were observed at various times throughout the day constructively engaging with residents thereby diverting residents from behaviours.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individual activities assessment on admission and an individual activities plan is developed for each resident by the diversional therapist in consultation with the registered nurse and EPOA.  These are evaluated six monthly at the same time as the long-term care plan.  Each resident is free to choose whether they wish to participate in the group or individual activities.  Participation is monitored and recorded on the activity log and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There is a large print activities timetable on the residents’ noticeboard.  There are a wide variety of activities offered including music, crafts, bingo, gardening, karaoke and church services.  On the day of audit residents were observed starting the day with exercises, participating in a karaoke session, enjoying a van outing and an afternoon walk in the community (accompanied).  Residents who prefer to not be involved in group activities have one-on-one visits for chats, hand massage and music.  There are two van outings a week.  The activity coordinator has a current first aid certificate.  An entertainer visits weekly on a Friday.  Special events like birthdays, Easter, Mother’s Day and Anzac Day are celebrated.  Some residents attend a community dementia group.  There is a fortnightly church service on site and church visitors also come in to give Mass.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residents and staff of diverse cultures, languages and religions.  The activity coordinator has developed a programme based on Te Whare Tapa Whā (Māori Health Model) to focus on the health and wellbeing of their residents through engagement and communication with family and community. </w:t>
            </w:r>
          </w:p>
          <w:p w:rsidR="00EB7645" w:rsidRPr="00BE00C7" w:rsidP="00BE00C7">
            <w:pPr>
              <w:pStyle w:val="OutcomeDescription"/>
              <w:spacing w:before="120" w:after="120"/>
              <w:rPr>
                <w:rFonts w:cs="Arial"/>
                <w:b w:val="0"/>
                <w:lang w:eastAsia="en-NZ"/>
              </w:rPr>
            </w:pPr>
            <w:r w:rsidRPr="00BE00C7">
              <w:rPr>
                <w:rFonts w:cs="Arial"/>
                <w:b w:val="0"/>
                <w:lang w:eastAsia="en-NZ"/>
              </w:rPr>
              <w:t>The LTS-CHC resident is under the age of 65 and enjoys playing cards, listening to music and watching movies.  The diversional therapist takes the younger resident to a monthly art group 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demonstrated that the long-term care plans were evaluated at least six-monthly (or earlier if there was a change in health status).  Care plan evaluations describe progress to meeting goals.  There was at least a three-monthly review by the GP.  Overall changes in health status were documented and followed up.  Short-term care plans sighted were evaluated and resolved or added to the long-term care plan if the problem is ongoing, as sighted in resident files sampled.  Where progress is different from expected, the service has updated changes in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registered nurses initiate referrals to nurse specialists and allied health services.  Other specialist referrals are made by the GP.  Referrals and options for care were discussed with the family, as evidenced in medical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waste management.  Residents, staff and visitors are protected from harm through safe practice.  There is an approved system in place for the safe disposal of sharps.  Chemicals are labelled with manufacturer labels.  There are designated areas for storage of chemicals and chemicals are stored securely.  Laundry and sluice rooms are locked when not in use.  The laundry service is provided by an external provider.  Product use information is available.  Protective equipment including gloves, aprons, and goggles are available for use by staff.  Staff interviewed were familiar with accepted waste management principles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displays a current building warrant of fitness, which expires on 29 September 2020.  A maintenance person is employed for five hours a week and is available on-call after hours and on weekends.  There is a scheduled 52-week preventative and reactive maintenance plan in place.  Contractors are contacted when required.  Hot water temperature checks are conducted monthly.  Hot water is provided at up to 45 degrees Celsius maximum in resident areas.  Medical equipment has been checked and calibrated and testing and tagging of electrical equipment has been conducted (10 July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 facility.  The residents can access secure outdoor areas.  There is easy access from the central lounge to the outdoor patio.  The external courtyards and gardens are well maintained with safe paving, outdoor shaded seating, lawn and gardens.  Interviews with the registered nurse and the caregivers confirmed that there was adequate equipment to carry out the cares according to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bedrooms have a hand basin.  There are adequate communal showers (four) and six communal toilets in the facility.  The majority of the showers have a small lip for residents to step over, but these have a safety strip highlighting this.  There is a flat entry shower as well and this has a shower chair if required.  The communal toilets and showers are well signed and identifiable and include vacant/engaged and in-use signs.  There is a visitor and staff communal toilet available.  Hand washing and drying facilities are located adjacent to the toilets.  Liquid soap and paper towels are available in all toilets.  Fixtures, fittings and floor and wall surfaces are made of accepted materials to support good hygiene and infection prevention and control practices.  Staff were observed maintaining residents’ privacy when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 bedrooms are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one large lounge and dining area and one quiet sensory room.  There are several smaller seating alcoves where residents can rest.  The communal areas are large enough to cater for activities and these were observed taking place.  The main dining room is located directly off the kitchen/servery area.  All areas are easily accessible for residents.  The furnishings and seating are appropriate.  Residents were seen to be moving freely both with and without assistance throughout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cleaner employed for 30 hours a week and caregivers assist as required.  Staff have access to a range of chemicals, cleaning equipment and protective clothing.  The standard of the cleaning is monitored through the internal audit programme.  Families interviewed were satisfied with the standard of cleaning in the facility.  The cleaning trolley is stored in a locked room when not in use.  Safety datasheets are available.  All laundry is done off site.  There are cleaning policies and procedures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 monthly fire drills are in place.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Fire training and security situations are included during the orientation of new staff.  Emergency equipment is available at the facility.  There are adequate supplies in the event of a civil defence emergency including food, water, blankets and gas cooking.  There is short-term back-up power for emergency lighting and a generator is available on loan from the power company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toilets and showers.  A video security camera system is in place to monitor 18 different areas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and resident bedrooms have external windows with plenty of natural sunlight.  Heating throughout the facility is managed through four heat pumps in communal areas and electric panel heaters in the residents’ rooms.  Windows open for ventilation.  Family interviewed stated the environment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Dominion Home has an established infection control (IC) programme that is being implemented.  The infection control programme is appropriate for the size, complexity and degree of risk associated with the service and has been linked into the incident reporting system.  The owner/manager, who is a registered nurse is the designated infection control coordinator with support from the facility manager, GP and staff.  Infection control data is collated monthly and reported at staff meetings.  Education has been provided for staff on orientation and annually through the infection control coordinator.  The staff have infection control updates and attend infection training at the local DHB.  The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and staff are offered the influenza vaccine annually.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Dominion Home.  The infection control (IC) coordinator has maintained their practice by attending annual infection control updates at the DHB.  The infection control coordinator has access to GPs, local laboratory, the infection control nurse specialist and public health departments at the local DHB for advice and an external infection control consultant specialist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The policies are developed by an external consultant and are reviewed regularly.  Infection control procedures developed in respect of the kitchen, laundry and housekeeping incorporate the principles of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Education is facilitated by the infection control nurse who has completed training to ensure knowledge of current practice.  All infection control training has been documented and a record of attendance has been maintained.  Visitors are advised of any outbreaks of infection and are advised not to attend until the outbreak had been resolved.  Education around infection prevention and control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(RN) uses the information obtained through surveillance to determine infection control activities, resources, and education needs within the facility.  Individual infection report forms and short-term care plans are completed for all resident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collated in a monthly register and a monthly report is completed by the infection control coordinator.  Infection control data, trends and analysis is discussed at the management and staff meetings.  The surveillance of infection data assists in evaluating compliance with infection control practices.  The infection control programme is linked with the quality management programme.  Internal infection control audits also assist the service in evaluating infection control needs.  There is close liaison with the GP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facility manager/RN is the designated restraint coordinator.  Staff interviews and staff records evidenced guidance has been given on restraint minimisation and safe practice (RMSP), enabler usage and prevention and/or de-escalation techniques.  Policies and procedures include definition of restraint and enabler that are congruent with the definition in NZS 8134.0. There were no residents with restraints or enablers at the time of the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25"/>
        <w:gridCol w:w="1280"/>
        <w:gridCol w:w="4487"/>
        <w:gridCol w:w="2441"/>
        <w:gridCol w:w="24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staff have yet to complete their dementia qualification.  They are all enrolled and have completed a selection of the dementia papers.  Six of the seven staff have been employed less than 18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seven staff who has been employed for over 18 months has not completed their dementia qualification.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care staff and floor assistants complete a dementia qualification within 18 months of employment.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167"/>
        <w:gridCol w:w="5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plan is completed where opportunities for improvements are identified (eg, complaint received).  A corrective action plan has also been implemented to reduce the number or residents’ falls and has resulted in a rating of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number of resident falls in 2018 was 33.  This has reduced to only 13 in 2019 (year to date) with three consecutive months (April, May, and June) where there were no resident falls.  There has been only one fall in July, one in September and no falls in August.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stated that this initiative has required all staff to be very diligent.  A range of strategies have been implemented.  Examples include reducing hazards in the environment (eg, improved lights, more benches and outdoor furniture); improved medication management (frequent GP reviews on all medications that cause dizziness); improving pain management strategies; addressing the strength and balance of residents through tai chi and targeted physical activity programmes; regular eye appointments for the residents; and making sure the residents have adequate food and drink and are regularly toileted.  Residents are encouraged to stay out of their rooms during the days and a floor aid is staffed on the AM and PM shifts to monitor the residents in the lounge.  A stop and watch programme has been implemented which has also assisted in reducing the number of falls.  This programme encourages staff to identify any changes in the resident’s behaviours or condition (eg, walking differently, developing a rash, weight change, new pain or change in pain).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past two years the service has admitted an increased number of residents from diverse cultural backgrounds, predominantly Chinese, Indian and Samoan.  This resulted in the activity coordinator and the management recognising the need to provide a culturally diverse activities programme that was resident, family and community focused.  The programme was based on the four cornerstones of Māori Health (Te Whare Tapa Whā).  The focus was on physical health, spiritual health, family health and mental health.  On interview with the activities co-ordinator, it was clearly evident that management and staff were committed to improve the health and overall wellbeing of their residents with dementia.  Survey results post implementation of the new holistic activities programme has shown a positive result in the following categories; satisfaction of activities, family/whānau participation, inter-generation participation, therapy programmes, community participation and communication.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Dominion Home has implemented a dementia-specific activities programme catering for their culturally diverse residents, families and staff that exceeds the standard.  The model was based on Te Whare Tapa Whā: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Physical health and wellbeing were promoted with activities including Tai Chi, therapeutic outings to the local yoga venues, gardens and parks.  Fun activities included indoor bowls, balloon tennis and netball.  An outdoor netball hoop and secured Astro turf garden was set up.  The outdoor activity space floor is made up of a soft-landing brick that reduces impact injuries sustained from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Spiritual health focused on quality and uplifting the human spirit through multi-denominational church services, holy communion and music therapy which is part of the weekly activities programme.  The facility has set up regular pet therapy sessions with a local pet service.  The outdoor garden space has a number of raised planter boxes and vegetable gardens encouraging residents to plant flowers and vegetables.  These are used to decorate the dining tables and vegetables for cooking.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Family Health included setting up range of activities where family members are involved.  This included day to day activities and family celebrations.  For residents with spouses in the community, the spouses are invited to spend the day at the facility.  Families that are overseas are connected with their loved ones through social media (eg, Skype, WeChat).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Mental health, an integral part of residents with dementia is promoted through gardening, karaoke, art therapy and community therapeutic therapy.  Community links include the Chinese community forum, St Luke’s and Auckland International cultural festival.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enhanced activities programme has resulted in the more effective management of residents with challenging behaviours.  NASC referrals/occupancy has increased over the past nine months.  Residents have a shortened adjustment period to the facility with non-English speaking residents settling into the facility with greater ease.  There is also less frustration experienced because of language differences as there are more resources available to communicate.  Families reported that they feel more involved in the care of their loved one by contributing as volunteers with the activities programme and generally, the activities programme has contributed to a decrease in the number of clinical events (eg, falls, infections).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G&amp;M Wellbeing Limited - Dominion Home</w:t>
    </w:r>
    <w:bookmarkEnd w:id="58"/>
    <w:r>
      <w:rPr>
        <w:rFonts w:cs="Arial"/>
        <w:sz w:val="16"/>
        <w:szCs w:val="20"/>
      </w:rPr>
      <w:tab/>
      <w:t xml:space="preserve">Date of Audit: </w:t>
    </w:r>
    <w:bookmarkStart w:id="59" w:name="AuditStartDate1"/>
    <w:r>
      <w:rPr>
        <w:rFonts w:cs="Arial"/>
        <w:sz w:val="16"/>
        <w:szCs w:val="20"/>
      </w:rPr>
      <w:t>18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