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Carter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Carter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October 2019</w:t>
      </w:r>
      <w:bookmarkEnd w:id="7"/>
      <w:r w:rsidRPr="009418D4">
        <w:rPr>
          <w:rFonts w:cs="Arial"/>
        </w:rPr>
        <w:tab/>
        <w:t xml:space="preserve">End date: </w:t>
      </w:r>
      <w:bookmarkStart w:id="8" w:name="AuditEndDate"/>
      <w:r w:rsidR="00A4268A">
        <w:rPr>
          <w:rFonts w:cs="Arial"/>
        </w:rPr>
        <w:t>1 October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Carter House provides rest home, hospital and dementia care services for up to 65 residents. The service is operated by Heritage Lifecare Limited and managed by a care home and village manager, a clinical service manager and a quality manager. Residents and family spoke positively about the care provided.</w:t>
      </w:r>
    </w:p>
    <w:p w:rsidRPr="00A4268A">
      <w:pPr>
        <w:spacing w:before="240" w:line="276" w:lineRule="auto"/>
        <w:rPr>
          <w:rFonts w:eastAsia="Calibri"/>
        </w:rPr>
      </w:pPr>
      <w:r w:rsidRPr="00A4268A">
        <w:rPr>
          <w:rFonts w:eastAsia="Calibri"/>
        </w:rPr>
        <w:t>This unannounced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and staff. The general practitioner was not available for interview.</w:t>
      </w:r>
    </w:p>
    <w:p w:rsidRPr="00A4268A">
      <w:pPr>
        <w:spacing w:before="240" w:line="276" w:lineRule="auto"/>
        <w:rPr>
          <w:rFonts w:eastAsia="Calibri"/>
        </w:rPr>
      </w:pPr>
      <w:r w:rsidRPr="00A4268A">
        <w:rPr>
          <w:rFonts w:eastAsia="Calibri"/>
        </w:rPr>
        <w:t xml:space="preserve">This audit resulted in no identified areas identified as requiring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There are effective communication systems between staff, between staff and residents and their families and with other health providers. The service adheres to the practices of open disclosure where necessary. </w:t>
      </w:r>
    </w:p>
    <w:p w:rsidRPr="00A4268A">
      <w:pPr>
        <w:spacing w:before="240" w:line="276" w:lineRule="auto"/>
        <w:rPr>
          <w:rFonts w:eastAsia="Calibri"/>
        </w:rPr>
      </w:pPr>
      <w:r w:rsidRPr="00A4268A">
        <w:rPr>
          <w:rFonts w:eastAsia="Calibri"/>
        </w:rPr>
        <w:t xml:space="preserve">Review of complaint records and interviews with staff, residents and families demonstrated that complaints received since the previous audit has been managed effectively. The Office of the Health and Disability Commissioner (HDC) are in the process of investigating a complaint from 2018.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service is maintaining its quality and risk management system with regular monitoring of all service areas.</w:t>
      </w:r>
    </w:p>
    <w:p w:rsidRPr="00A4268A">
      <w:pPr>
        <w:spacing w:before="240" w:line="276" w:lineRule="auto"/>
        <w:rPr>
          <w:rFonts w:eastAsia="Calibri"/>
        </w:rPr>
      </w:pPr>
      <w:r w:rsidRPr="00A4268A">
        <w:rPr>
          <w:rFonts w:eastAsia="Calibri"/>
        </w:rPr>
        <w:t>Adverse events are reliably reported by all levels of staff. There is evidence that people impacted by an adverse event are notified for example, general practitioners and families. Notification of serious events is occurring as required by regulatory requirements.</w:t>
      </w:r>
    </w:p>
    <w:p w:rsidRPr="00A4268A">
      <w:pPr>
        <w:spacing w:before="240" w:line="276" w:lineRule="auto"/>
        <w:rPr>
          <w:rFonts w:eastAsia="Calibri"/>
        </w:rPr>
      </w:pPr>
      <w:r w:rsidRPr="00A4268A">
        <w:rPr>
          <w:rFonts w:eastAsia="Calibri"/>
        </w:rPr>
        <w:t xml:space="preserve">Human resources systems are in place and staff are recruited and managed effectively. Staff training in relevant subject areas is occurring regularly. All staff are supported and encouraged to attend ongoing performance development and achieve educational qualifications in health care. </w:t>
      </w:r>
    </w:p>
    <w:p w:rsidRPr="00A4268A">
      <w:pPr>
        <w:spacing w:before="240" w:line="276" w:lineRule="auto"/>
        <w:rPr>
          <w:rFonts w:eastAsia="Calibri"/>
        </w:rPr>
      </w:pPr>
      <w:r w:rsidRPr="00A4268A">
        <w:rPr>
          <w:rFonts w:eastAsia="Calibri"/>
        </w:rPr>
        <w:t>There are adequate numbers of skilled and experienced staff on site to meet the needs of residents 24 hours a day seven days a week.</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Access to the facility is appropriate and efficiently managed with relevant information provided to the potential resident/family.</w:t>
      </w:r>
    </w:p>
    <w:p w:rsidRPr="00A4268A" w:rsidP="00621629">
      <w:pPr>
        <w:spacing w:before="240" w:line="276" w:lineRule="auto"/>
        <w:rPr>
          <w:rFonts w:eastAsia="Calibri"/>
        </w:rPr>
      </w:pPr>
      <w:r w:rsidRPr="00A4268A">
        <w:rPr>
          <w:rFonts w:eastAsia="Calibri"/>
        </w:rPr>
        <w:t>The multidisciplinary team, including the registered nurses and general practitioner, assess residents’ needs on admission. Care plans are individualised, based on a comprehensive range of information and accommodate any new problems that might arise. Files reviewed demonstrated that the care provided and needs of residents were reviewed and evaluated on a regular and timely basis. Residents are referred or transferred to other health services as required.</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Nutritional meals, snacks and fluids are provided in line with recognised nutritional guidelines. Special dietary requirements are catered for. Residents verified satisfaction with meals provided. The service has a food control plan.</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Carter House has a current Building Warrant of Fitness. All building regulations, fire safety, emergency and security standards are met. Residents and families interviewed were satisfied with the environment.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restraint systems and practices meet the requirements of this standard. On the day of audit there was one resident who required positioning in a fall out chair for safety reasons and one resident who used bed rails voluntarily. Assessment, consent, approval and monitoring and review occurs in relation to the use of these interventions. </w:t>
      </w:r>
    </w:p>
    <w:p w:rsidRPr="00A4268A">
      <w:pPr>
        <w:spacing w:before="240" w:line="276" w:lineRule="auto"/>
        <w:rPr>
          <w:rFonts w:eastAsia="Calibri"/>
        </w:rPr>
      </w:pPr>
      <w:r w:rsidRPr="00A4268A">
        <w:rPr>
          <w:rFonts w:eastAsia="Calibri"/>
        </w:rPr>
        <w:t>Staff training on restraint and enabler use is being provided regularly.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49"/>
        <w:gridCol w:w="1280"/>
        <w:gridCol w:w="10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maintaining a complaints register and effectively managing the complaints process. Residents and family members interviewed demonstrated knowledge and understanding about how to raise a complaint. Interview with the care home manager and review of the documentation related to the seven complaints logged in 2019, confirmed that each matter was investigated immediately and managed effectively for resolution with all parties. There was evidence of ongoing communication with all people involved and external advocacy had been offered where necessary. </w:t>
            </w:r>
          </w:p>
          <w:p w:rsidR="00EB7645" w:rsidRPr="00BE00C7" w:rsidP="00BE00C7">
            <w:pPr>
              <w:pStyle w:val="OutcomeDescription"/>
              <w:spacing w:before="120" w:after="120"/>
              <w:rPr>
                <w:rFonts w:cs="Arial"/>
                <w:b w:val="0"/>
                <w:lang w:eastAsia="en-NZ"/>
              </w:rPr>
            </w:pPr>
            <w:r w:rsidRPr="00BE00C7">
              <w:rPr>
                <w:rFonts w:cs="Arial"/>
                <w:b w:val="0"/>
                <w:lang w:eastAsia="en-NZ"/>
              </w:rPr>
              <w:t>A complaint submitted to the Office of the Health and Disability Commissioner in 2018 which was related to pressure injuries, is still under investigation.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open disclosure policy clearly and accurately describes the principles of open disclosure and how to implement this when required.</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confirmed they are kept informed of the resident`s status and are notified of adverse events. Contact with the family is documented if the resident has been involved in an incident/accident or there has been any change in the resident’s condition. Details from doctors’ visits are documented and communicated as required.</w:t>
            </w:r>
          </w:p>
          <w:p w:rsidR="00EB7645" w:rsidRPr="00BE00C7" w:rsidP="00BE00C7">
            <w:pPr>
              <w:pStyle w:val="OutcomeDescription"/>
              <w:spacing w:before="120" w:after="120"/>
              <w:rPr>
                <w:rFonts w:cs="Arial"/>
                <w:b w:val="0"/>
                <w:lang w:eastAsia="en-NZ"/>
              </w:rPr>
            </w:pPr>
            <w:r w:rsidRPr="00BE00C7">
              <w:rPr>
                <w:rFonts w:cs="Arial"/>
                <w:b w:val="0"/>
                <w:lang w:eastAsia="en-NZ"/>
              </w:rPr>
              <w:t>Staff said they knew how to contact interpreter services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(CHM) is an RN with relevant qualifications. The CHM commenced at Carter House January 2019 and has long term experience in the NZ health sector as an RN and has had previous clinical manager experience in aged care facilities manager in aged care facilities, needs assessment coordination and assessment and as interRAI educator. Responsibilities and accountabilities are defined in this person’s job description and individual employment agreement. The care home manager confirmed knowledge of the sector, regulatory and reporting requirements and maintains currency through regular meetings with the DHB and other age care facility managers. </w:t>
            </w:r>
          </w:p>
          <w:p w:rsidR="00EB7645" w:rsidRPr="00BE00C7" w:rsidP="00BE00C7">
            <w:pPr>
              <w:pStyle w:val="OutcomeDescription"/>
              <w:spacing w:before="120" w:after="120"/>
              <w:rPr>
                <w:rFonts w:cs="Arial"/>
                <w:b w:val="0"/>
                <w:lang w:eastAsia="en-NZ"/>
              </w:rPr>
            </w:pPr>
            <w:r w:rsidRPr="00BE00C7">
              <w:rPr>
                <w:rFonts w:cs="Arial"/>
                <w:b w:val="0"/>
                <w:lang w:eastAsia="en-NZ"/>
              </w:rPr>
              <w:t>Carter House has agreements with the DHB for age related care (ARCC) in rest home, dementia, hospital (medical and geriatric care) respite/short stay and day services and Long Term Services, Chronic Health Care (LTS-CHC).</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64 of the 65 beds were occupied. Twenty residents were receiving rest home level care and 25 plus one respite resident were receiving hospital level care. There were 17 residents in the secure unit. One hospital resident under 65 years of age was being care for under the LTS-CHC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the management of complaints, internal audits across all areas of service delivery and monitoring of outcomes, resident and relative satisfaction surveys and the reporting and collation of adverse events such as accidents/incidents, pressure injuries, restraint interventions and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(HLL), uses the same system for each of its facilities to report their quality data for example, number of falls with or without injury, medicine errors, pressure injuries, restraint, urinary tract infections, bruising and skin tears, and staff incidents. This data is collated by a dedicated quality coordinator who conducts a monthly analysis looking for trends and ensuring that actions are underway to remedy any unwanted trends. This is then submitted to HLL’s national office who produce a monthly quality indicator report which shows how the facility compares with other services and whether they are over or under the benchmarked target in each category. Where gaps or deficits in service delivery are identified corrective actions are developed and implemented to address any shortfalls.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from quality monitoring is shared with staff at regular monthly meetings and written information was observed to be on display in staff areas. The staff interviewed confirmed that they are kept well informed and may also be involved in quality and risk management processes through internal audit activities, quality projects and acting as representatives for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satisfaction surveys are completed annually. Results from the most recent 2019 survey showed no major issues or areas of concern.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controlled and managed nationally to ensure a systematic and regular review process, referencing of relevant sources, approval, distribution and removal of obsolete documents. Policies are based on best practice and cover all aspects of the service and contractual requirements, including reference to the interRAI Long Term Care Facility (LTCF) assessment tool and process. </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described the processes for the identification, monitoring, review and reporting of risks and development of mitigation strategies. The manager is familiar with the Health and Safety at Work Act (2015) and has implemented requirements. There had been no staff injuries requiring notification to Worksafe NZ.</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 forms reviewed for 2019 revealed clear descriptions of the event and evidence of notifications to people impacted by the incidents. For example, family, the manager on call and/or the GP. All incidents were being reviewed and investigated by the CSM, to determine cause and effect and what if any type of actions require follow-up. There was evidence that actions are monitored for implementation. Consequential actions are recorded in the resident’s electronic progress notes. Adverse event data is collated, analysed and reported to staff as described in standard 1.2.3.</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understands and adheres to the requirements for essential notification reporting, including for pressure injuries. The records showed appropriate notifications of significant events made to the Ministry of Health, in 2019. Examples included reports of missing residents with police involvement, five stage three pressure injuries (three of which were present when admitted) and a gastro-enteritis outbreak which was also notified to local public health officers in June.</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coroner’s inquests, or issues-based audits.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Staffing policies and practices are based on good employment practice and relevant legislation. The recruitment process includes referee checks, police vetting and validation of qualifications and practising certificates (APCs), where required. A sample of six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followed by an initial performance review.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Records reviewed demonstrated that eight of the 28 caregivers have completed level 4 or higher of the National Certificate in Health and Wellbeing (or its equivalent). Eleven carers have achieved level 3, one has achieved level 2 and eight are at level one.  Interviews and documents confirmed that each of the staff who are rostered to work in the secure/dementia unit have either completed or are progressing educational achievements in dementia care (US 23920-23923).</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Nine of the 10 RNs employed are maintaining annual competency requirements to undertake interRAI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Staffing levels are adjusted to meet the changing needs of residents.  An afterhours on call roster is in place, with staff reporting that good access to advice is available when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reported there were adequate staff available to complete the work allocated to them. Residents and family members interviewed supported this. Observations and review of a four-week roster cycle confirmed adequate staff cover has been provided, with staff replaced in any unplanned absence.  </w:t>
            </w:r>
          </w:p>
          <w:p w:rsidR="00EB7645" w:rsidRPr="00BE00C7" w:rsidP="00BE00C7">
            <w:pPr>
              <w:pStyle w:val="OutcomeDescription"/>
              <w:spacing w:before="120" w:after="120"/>
              <w:rPr>
                <w:rFonts w:cs="Arial"/>
                <w:b w:val="0"/>
                <w:lang w:eastAsia="en-NZ"/>
              </w:rPr>
            </w:pPr>
            <w:r w:rsidRPr="00BE00C7">
              <w:rPr>
                <w:rFonts w:cs="Arial"/>
                <w:b w:val="0"/>
                <w:lang w:eastAsia="en-NZ"/>
              </w:rPr>
              <w:t>At least one staff member on duty has a current first aid certificate and there is 24 hour/seven days a week (24/7) RN coverage in the facility. Only staff who have completed or are progressing educational achievements in dementia care (US 23920-23923) are rostered for duties in the secure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observed administering medicines demonstrated good knowledge and had a clear understanding of their roles and responsibilities related to each stage of medicine management. All staff who administer medicines are competent to perform the function they manage. Current medication administration competencies were sighted for all staff who administer medication.</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checks medications against the prescription when medication is received from the pharmacy. All medications sighted were within current use by dates. The service has implemented an electronic medication management system. Staff have completed relevant training for the new system and other topics required for medicine management as per the training records.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Interviewed staff demonstrated knowledge on controlled drugs management and storage requirements and are guided by the medication management policies and procedures when required. Controlled drugs checks occur every Tuesday and the contracted pharmacist performs six monthly audits and these were recorded. </w:t>
            </w:r>
          </w:p>
          <w:p w:rsidR="00EB7645" w:rsidRPr="00BE00C7" w:rsidP="00BE00C7">
            <w:pPr>
              <w:pStyle w:val="OutcomeDescription"/>
              <w:spacing w:before="120" w:after="120"/>
              <w:rPr>
                <w:rFonts w:cs="Arial"/>
                <w:b w:val="0"/>
                <w:lang w:eastAsia="en-NZ"/>
              </w:rPr>
            </w:pPr>
            <w:r w:rsidRPr="00BE00C7">
              <w:rPr>
                <w:rFonts w:cs="Arial"/>
                <w:b w:val="0"/>
                <w:lang w:eastAsia="en-NZ"/>
              </w:rPr>
              <w:t>The required three-monthly medication review was consistently recorded on the medicine chart by the GP. On the reviewed medication charts, dates were recorded on the commencement and discontinuation of medicines and all requirements for pro re nata (PRN) medicines were met. Monthly reviews/audits are completed from the electronic system utilised and reports were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self-administering medicines. Appropriate processes were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one chef and a relieving cook and a kitchen team and is in line with recognised nutritional guidelines for older people. The menu follows a four weekly cycle pattern. The service has a contracted dietician who has audited the menu plans within the last two years.</w:t>
            </w:r>
          </w:p>
          <w:p w:rsidR="00EB7645" w:rsidRPr="00BE00C7" w:rsidP="00BE00C7">
            <w:pPr>
              <w:pStyle w:val="OutcomeDescription"/>
              <w:spacing w:before="120" w:after="120"/>
              <w:rPr>
                <w:rFonts w:cs="Arial"/>
                <w:b w:val="0"/>
                <w:lang w:eastAsia="en-NZ"/>
              </w:rPr>
            </w:pPr>
            <w:r w:rsidRPr="00BE00C7">
              <w:rPr>
                <w:rFonts w:cs="Arial"/>
                <w:b w:val="0"/>
                <w:lang w:eastAsia="en-NZ"/>
              </w:rPr>
              <w:t>Food temperatures, including for high risk items, are monitored appropriately and recorded as part of the food safety plan. The chef interviewed have undertaken a safe food handling qualification. Kitchen hands have also completed all relevant training and certificates are displayed.  The chef is responsible for the ordering of all food, checking off all deliveries, temperature monitoring of all foods, fridges and freezers.  Records were well maintained.</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Food allergies are documented and included in the care plan.</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secure unit have access to food and fluids to meet their nutritional needs at all times.</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residents’ meetings minutes. Residents were seen to be given enough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current food control plan which expires 19 December 2019.  This is displayed at the entrance to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was consistent with their needs, goals and the plan of care. The attention to meeting a diverse range of residents’ individualised needs was evident. The GP medical records verified that medical input is sought in a timely manner that medical orders are followed, and care is implemented as required. Care staff confirmed that care was provided as outlined in the documentation. A range of equipment and resources was available, suited to the levels of care provided and in accordance with the residents’ needs. Interviewed residents and families confirmed satisfaction with the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four staff; two are diversional therapists holding national certificates in diversional therapy and two are activities coordinators. All are experienced in providing appropriate activities for all residents. Monthly activities are planned separately for the three streams of residents at this home. Family members are welcome and encouraged to be involved with the activities provided. A weekly programme is displayed in all service areas. The activities staff are allocated residents on admission and are responsible for the initial social assessment and the individual recreational plans and updates as required. The interests, abilities and social requirements are taken into consideration when developing the individual plans. The plans are reviewed when the care plans ae reviewed six monthly.</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 normal community activities. Individual and group activities and regular events are offered. Residents and families/whanau are involved in evaluating and improving the programme through residents’ meetings (minutes of meetings were reviewed), and satisfactory surveys. Residents interviewed confirmed they find the programme interesting and motivating. Van outings in the community with designated drivers are popular for residents as seen on the day of the audit.</w:t>
            </w:r>
          </w:p>
          <w:p w:rsidR="00EB7645" w:rsidRPr="00BE00C7" w:rsidP="00BE00C7">
            <w:pPr>
              <w:pStyle w:val="OutcomeDescription"/>
              <w:spacing w:before="120" w:after="120"/>
              <w:rPr>
                <w:rFonts w:cs="Arial"/>
                <w:b w:val="0"/>
                <w:lang w:eastAsia="en-NZ"/>
              </w:rPr>
            </w:pPr>
            <w:r w:rsidRPr="00BE00C7">
              <w:rPr>
                <w:rFonts w:cs="Arial"/>
                <w:b w:val="0"/>
                <w:lang w:eastAsia="en-NZ"/>
              </w:rPr>
              <w:t>Activities for residents from the secure dementia unit are specific to the needs and abilities of the residents living there. Activities are offered at times when residents are most physically active and or restless. This includes activities planned between 6am and 6am (24 hours) on the activities plan sighted. Resources are available for the care staff to access as required. Family interviewed appreciated the activities provided for their relatives and stated there was always and activity in progress for the residents to be involved as 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is evaluated on each shift and reported in the progress notes by the care staff. If any change is noted, it is reported to the RNs. The RNs review and document in the progress notes when there is need or changes in residents’ conditions and weekly as a minimum. One of the senior registered nurses discussed the Carter House schedules for the RN primary nurses to complete the interRAI assessments, lifestyle care plans and to ensure the dates for the GP reviews are planned. The interRAI assessments were up-to-date.</w:t>
            </w:r>
          </w:p>
          <w:p w:rsidR="00EB7645" w:rsidRPr="00BE00C7" w:rsidP="00BE00C7">
            <w:pPr>
              <w:pStyle w:val="OutcomeDescription"/>
              <w:spacing w:before="120" w:after="120"/>
              <w:rPr>
                <w:rFonts w:cs="Arial"/>
                <w:b w:val="0"/>
                <w:lang w:eastAsia="en-NZ"/>
              </w:rPr>
            </w:pPr>
            <w:r w:rsidRPr="00BE00C7">
              <w:rPr>
                <w:rFonts w:cs="Arial"/>
                <w:b w:val="0"/>
                <w:lang w:eastAsia="en-NZ"/>
              </w:rPr>
              <w:t>Care plan evaluations occur every six months in conjunction with the six-monthly interRAI reassessments, or as residents’ needs change. Where progress is different from expected, the service responds by initiating changes to the plan of care. Short-term care plans were consistently reviewed, and progress evaluated as clinically indicated for acute infections and wounds in the reviewed files. Unresolved problems were added to the long- term care plans after three weeks. Residents and families/whānau interviewed confirmed involvement in evaluation of progress and any resulting changes. The family communication records evidenced that family are notified when a resident’s condition changes or when any issues arise. Short term care plans were closed off when the short-term problems have been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29 November 2019)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There have been no structural changes to the building. Improvements to the internal and external environment were observed, for example, replacement of flooring, painting, new furniture and general enhancements for the benefit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The ICC reviews all reported infection, and these are documented. New infections and any required management plans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The clinical indicator monthly summary was reviewed. Information is sent through to the organisation’s support office and quality staff produce graphs that identify any trends and/or any comparisons with the previous month or year for the surveillance programme. Results of the surveillance programme are then shared with staff via regular staff meetings and at staff handovers. Data is benchmarked externally with the other aged care providers.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The restraint coordinator was not available for interview. The CSM explained the process for enabler and restraint management in the facility and demonstrated a sound understanding of the organisation’s policies, procedures and practice. Staff education on restraint minimisation is ongoing.</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there was one hospital resident who needed to be positioned in a fall out chair for safety reasons but could not consent to this and one resident using bed rails voluntarily as an enabler. Restraint is used as a last resort when all alternatives have been explored. This was evident from the review of documents, observations on site and interviews with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Carter House</w:t>
    </w:r>
    <w:bookmarkEnd w:id="58"/>
    <w:r>
      <w:rPr>
        <w:rFonts w:cs="Arial"/>
        <w:sz w:val="16"/>
        <w:szCs w:val="20"/>
      </w:rPr>
      <w:tab/>
      <w:t xml:space="preserve">Date of Audit: </w:t>
    </w:r>
    <w:bookmarkStart w:id="59" w:name="AuditStartDate1"/>
    <w:r>
      <w:rPr>
        <w:rFonts w:cs="Arial"/>
        <w:sz w:val="16"/>
        <w:szCs w:val="20"/>
      </w:rPr>
      <w:t>1 October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