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Cambridge Resthaven Trust Board Incorporated - Cambridge Resthaven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Cambridge Resthaven Trust Board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Cambridge Resthaven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September 2019</w:t>
      </w:r>
      <w:bookmarkEnd w:id="7"/>
      <w:r w:rsidRPr="009418D4">
        <w:rPr>
          <w:rFonts w:cs="Arial"/>
        </w:rPr>
        <w:tab/>
        <w:t xml:space="preserve">End date: </w:t>
      </w:r>
      <w:bookmarkStart w:id="8" w:name="AuditEndDate"/>
      <w:r w:rsidR="00A4268A">
        <w:rPr>
          <w:rFonts w:cs="Arial"/>
        </w:rPr>
        <w:t>13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For five of the bedrooms that were previously included in the dementia unit as being suitable for multiple purpose use. All five beds would either be used for secure dementia level care or all beds used for rest home and / or hospital level care.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Cambridge Resthaven Trust Board Incorporated - Cambridge Resthaven, provides rest home, hospital and dementia care services for up to 80 residents in the care facility. In addition, there are 12 apartments that are suitable for the occupant to receive rest home level care. There are 20 bedrooms in the secure dementia unit. Five of these rooms are located where they can be safely included in either the secure dementia unit or used for rest home or hospital level care, by changing which door is activated for security. This is a change since the last audit when these bed spaces were used only for the provision of dementia level care. At the time of audit these rooms were being used for hospital and rest home level of care. All other beds, except five rooms are suitable for the care of either rest home or hospital level of care residents.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management, staff and two general practitioners. </w:t>
      </w:r>
    </w:p>
    <w:p w:rsidRPr="00A4268A">
      <w:pPr>
        <w:spacing w:before="240" w:line="276" w:lineRule="auto"/>
        <w:rPr>
          <w:rFonts w:eastAsia="Calibri"/>
        </w:rPr>
      </w:pPr>
      <w:r w:rsidRPr="00A4268A">
        <w:rPr>
          <w:rFonts w:eastAsia="Calibri"/>
        </w:rPr>
        <w:t>This audit has resulted in the identification of one area requiring improvement. This relates to hot water temperature monitoring.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Residents and families understood the complaints process and felt able to make a complaint or provide feedback/compliments to staff if they needed to. ‘Help us help you’ forms are readily available to residents and family. Complaints, concerns and suggestions are investigated and responded to in a timely manner.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strategic ‘roadmap’ has been developed by the chief executive officer and the board of directors. This document along with the quality and risk plan details the purpose, vision, values and aims/goals of the organisation. The general manager is responsible for ensuring services are provided to meet residents’ needs, legislation and good practice standards with the support of the clinical nurse leader and the registered nursing staff. </w:t>
      </w:r>
    </w:p>
    <w:p w:rsidRPr="00A4268A">
      <w:pPr>
        <w:spacing w:before="240" w:line="276" w:lineRule="auto"/>
        <w:rPr>
          <w:rFonts w:eastAsia="Calibri"/>
        </w:rPr>
      </w:pPr>
      <w:r w:rsidRPr="00A4268A">
        <w:rPr>
          <w:rFonts w:eastAsia="Calibri"/>
        </w:rPr>
        <w:t xml:space="preserve">The quality and risk system and processes support effective, timely service delivery. The quality management systems include an internal audit programme, complaints management, incident/accident reporting, corrective action planning, benchmarking with other facilities, hazard identification and management, infection control data collection and conducting staff and resident/family satisfaction surveys. Quality and risk management activities and results are shared appropriately with management and staff. Corrective action planning is documented. </w:t>
      </w:r>
    </w:p>
    <w:p w:rsidRPr="00A4268A">
      <w:pPr>
        <w:spacing w:before="240" w:line="276" w:lineRule="auto"/>
        <w:rPr>
          <w:rFonts w:eastAsia="Calibri"/>
        </w:rPr>
      </w:pPr>
      <w:r w:rsidRPr="00A4268A">
        <w:rPr>
          <w:rFonts w:eastAsia="Calibri"/>
        </w:rPr>
        <w:t xml:space="preserve">Recruitment and employment practices align with current accepted practice. New staff have an orientation relevant to their role. Staff participate in regular and relevant ongoing education opportunities. All applicable staff and contractors maintain current annual practising certificates. </w:t>
      </w:r>
    </w:p>
    <w:p w:rsidRPr="00A4268A">
      <w:pPr>
        <w:spacing w:before="240" w:line="276" w:lineRule="auto"/>
        <w:rPr>
          <w:rFonts w:eastAsia="Calibri"/>
        </w:rPr>
      </w:pPr>
      <w:r w:rsidRPr="00A4268A">
        <w:rPr>
          <w:rFonts w:eastAsia="Calibri"/>
        </w:rPr>
        <w:t>The service has a documented rationale for staffing. There is always at least one registered nurse on duty who is called the triage nurse. Cambridge Resthaven registered nurses now work in a self-managing model of care. They have flexible work hours, however, remain responsible for oversight of designated residents ongoing care. Residents and family members confirmed during interview that all their needs and wants are met.</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registered nurses, physiotherapists, activities team and general practitioners, assess residents’ needs on admission.  Care plans are individualised, based on a comprehensive range of information and accommodate any new problems that might arise. Twenty-four hour dementia care plans were in place.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Snacks are available for residents on a 24-hour basis.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Cambridge Resthaven facilities meets the needs of residents and was well maintained, clean and tidy. There was a current building warrant of fitness and electric equipment is tested as required. Communal and individual spaces are maintained with appropriate heating at an even comfortable temperature. External areas are appropriate and well maintained, with seating available. There is a secure external area for residents in the dementia unit. Appropriate shade is available.</w:t>
      </w:r>
    </w:p>
    <w:p w:rsidRPr="00A4268A">
      <w:pPr>
        <w:spacing w:before="240" w:line="276" w:lineRule="auto"/>
        <w:rPr>
          <w:rFonts w:eastAsia="Calibri"/>
        </w:rPr>
      </w:pPr>
      <w:r w:rsidRPr="00A4268A">
        <w:rPr>
          <w:rFonts w:eastAsia="Calibri"/>
        </w:rPr>
        <w:t>Waste and hazardous substances are well managed. Staff are well protected with adequate supplies of personal protective equipment being available. Chemicals are stored safely. Laundry is contracted offsite and evaluated for effectiveness.</w:t>
      </w:r>
    </w:p>
    <w:p w:rsidRPr="00A4268A">
      <w:pPr>
        <w:spacing w:before="240" w:line="276" w:lineRule="auto"/>
        <w:rPr>
          <w:rFonts w:eastAsia="Calibri"/>
        </w:rPr>
      </w:pPr>
      <w:r w:rsidRPr="00A4268A">
        <w:rPr>
          <w:rFonts w:eastAsia="Calibri"/>
        </w:rPr>
        <w:t>Staff are trained in emergency procedures and emergency resources are readily available Supplies are checked regularly. Fire evacuation procedures are held six monthly. Residents reported a timely staff response to call bells. Security is well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Policies and procedures are available for staff on the use of enablers and restraint minimisation practices. The facility has been restraint free since the last audit. There were no restraints in use during the audit. Ten residents had enablers in use. Staff are provided with education on restraint minimisation and use of enablers during orientation and the ongoing education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00"/>
        <w:gridCol w:w="1280"/>
        <w:gridCol w:w="97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Cambridge Resthaven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RNs and healthcare care assistants (HCAs)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Residents in the dementia unit had activated EPOA’s who have signed the admission agreements and the general consent forms. Records were sighted in the reviewed files and interviewed family confirmed being involved.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and/family representative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Cambridge Resthaven implements organisational policies and procedures to ensure complaints processes reflect a fair complaints system that complies with the Code. During interview, residents, family and staff reported their understanding of the complaints process and noted they had no complaints. “Help us help you” forms are present throughout the facility and include an area for the recording of problems, suggestions and compliments. All resident and family concerns or complaints are documented. Since 4 July 2019 there have been 13 compliments and 24 concerns / problems logged. This included missing items of personal property which were subsequently located the same or next day.</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There have been no complaints received from the Ministry of Health or Health and Disability Commissioner, or District Health Board since the last audit. A review of six complaints verified they have been acknowledged, investigated and responded to in a timely manner.  On occasions the general manager has sought input from Waikato District Health Board (WDHB) clinicians in relation to complaints received.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on admission. The Code is displayed at the entrance to the facility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during provision of personal cares throughout the audit.  Most residents have a private room. When a room is shared it is with a resident who is their spouse or another person with both resident’s consent (refer to 1.4.4).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and arranging their own visits to the doctor if desired.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 Interviewed residents and families reported that there has been no suspected or witnessed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service who identify as Māori are supported by staff to integrate their cultural values and beliefs and these were included in the care plan where required.  Documentation was sighted in reviewed records. The principles of the Treaty of Waitangi are incorporated into day to day practice, as is the importance of whānau. There is a current Māori health plan developed with input from cultural advisers and the Accident Compensation Corporation (ACC) guidelines on Maori cultural competencies for providers.  Guidance on tikanga best practice is available.  Cultural training is provided to all staff as part of orientation and the ongoing education programme. Interviewed staff demonstrated awareness of the specific cultural needs of the residents who identify as Maori and individualised support was provided as per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 Education on cultural safety is provided to staff on orientation and on an ongoing basis as per the education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practitioners (GPs)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nurse key worker initiative where each nurse has residents and a GP allocated to them and they take overall responsibility of the team of residents allocated to them. Interviewed GPs, residents and families reported satisfaction with this arrangement as it provides one key nurse to communicate with and that the process has effectively improved communication for all parties involved.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health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and the use of family members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roadmap has been developed by the board of directors (BOD). This document along with the quality and risk plan details the purpose, values, scope, aims and priorities of the organisation. The service is managed by a chief executive officer (CEO) who has been in the role for approximately 17 years and is responsible for the overall Cambridge Resthaven Trust activities. The CEO reports to a board of directors. There are currently seven members of the board.</w:t>
            </w:r>
          </w:p>
          <w:p w:rsidR="00EB7645" w:rsidRPr="00BE00C7" w:rsidP="00BE00C7">
            <w:pPr>
              <w:pStyle w:val="OutcomeDescription"/>
              <w:spacing w:before="120" w:after="120"/>
              <w:rPr>
                <w:rFonts w:cs="Arial"/>
                <w:b w:val="0"/>
                <w:lang w:eastAsia="en-NZ"/>
              </w:rPr>
            </w:pPr>
            <w:r w:rsidRPr="00BE00C7">
              <w:rPr>
                <w:rFonts w:cs="Arial"/>
                <w:b w:val="0"/>
                <w:lang w:eastAsia="en-NZ"/>
              </w:rPr>
              <w:t>The services provided within the aged related residential care services at Cambridge Resthaven are overseen by the general manager (GM) who is a registered nurse. She has been in the role for over ten years and holds a post graduate diploma in management studies. The GM’s responsibilities and accountabilities are defined in a job description and individual employment agreement. The GM has exceeded eight hours of education per annum related to managing an aged related residential care facility as required by the providers contract with Waikato District Health Board (WDHB). The GM and the CEO provide monthly reports to the BOD. The sample of reports sighted included information to monitor performance, including occupancy rates, staffing numbers, emerging risks and issues, incidents and accidents, concerns, compliments and complaints, health and safety and equipment / facility issues.</w:t>
            </w:r>
          </w:p>
          <w:p w:rsidR="00EB7645" w:rsidRPr="00BE00C7" w:rsidP="00BE00C7">
            <w:pPr>
              <w:pStyle w:val="OutcomeDescription"/>
              <w:spacing w:before="120" w:after="120"/>
              <w:rPr>
                <w:rFonts w:cs="Arial"/>
                <w:b w:val="0"/>
                <w:lang w:eastAsia="en-NZ"/>
              </w:rPr>
            </w:pPr>
            <w:r w:rsidRPr="00BE00C7">
              <w:rPr>
                <w:rFonts w:cs="Arial"/>
                <w:b w:val="0"/>
                <w:lang w:eastAsia="en-NZ"/>
              </w:rPr>
              <w:t>Cambridge Resthaven is one of eight facilities that have formed a Community Trust in Care Aotearoa (CTCA). These aged related residential care services work together to share information, education opportunities, policies and procedures, and purchasing buying power. The CTCA members meet regularly.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an Aged Related Residential Care Contract with WDHB for the provision of rest home, hospital and dementia care services. There were sixty five residents receiving care under this contract. Thirty at rest home level, 14 at dementia level and 21 at hospital level care. A contract is also in place for the provision of respite services. There are three residents receiving rest home services under this contract. There is a Young People with Disabilities (YPD) contract with the Ministry of Health for the provision of rest home and hospital level care. There were four residents receiving care under this contract, two at both rest home and hospital level of care. There is a Long Term Conditions Chronic Health Contract (LTC CHC). One resident was receiving hospital level care under this contract. Since November 2018, Cambridge Resthaven has a service agreement with WDHB for the provision of rest and recuperation (R&amp;R) services. There was one resident receiving short stay services under this agreement. There was a total of 74 residents receiving care at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GM is absent, the clinical nurse leader (CNL) is responsible for oversight of clinical services with the support of the CEO and registered nurses. The CNL works a minimum of forty hours a fortnight and is experienced in aged care nursing.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Cambridge Resthaven has a quality and risk management system which is understood and implemented by service providers. This includes internal audits, satisfaction surveys, incident and accident reporting, benchmarking, health and safety reporting, hazard management, infection control data collection and management, and concerns, compliments and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Cambridge Resthaven undertakes an annual resident and family satisfaction survey. This is undertaken by an external company and results benchmarked with other providers. This enables the resident / family to independently give their perspective from year to year for established questions. The external company provides the analysed results and information to enable internal comparison of the results from year to year as well as on how the service compares with peers. Targeted quality improvement projects are being undertaken in response to findings.</w:t>
            </w:r>
          </w:p>
          <w:p w:rsidR="00EB7645" w:rsidRPr="00BE00C7" w:rsidP="00BE00C7">
            <w:pPr>
              <w:pStyle w:val="OutcomeDescription"/>
              <w:spacing w:before="120" w:after="120"/>
              <w:rPr>
                <w:rFonts w:cs="Arial"/>
                <w:b w:val="0"/>
                <w:lang w:eastAsia="en-NZ"/>
              </w:rPr>
            </w:pPr>
            <w:r w:rsidRPr="00BE00C7">
              <w:rPr>
                <w:rFonts w:cs="Arial"/>
                <w:b w:val="0"/>
                <w:lang w:eastAsia="en-NZ"/>
              </w:rPr>
              <w:t>A rolling ‘team engagement pulse survey’ (staff satisfaction survey) is conducted by an external company with several questions asked each month and reported on monthly, with an overall accumulative summary report provided at least annually. This provides a formal ongoing process to monitor staff perspective about their workplace. In addition, another company visits weekly and provides an opportunity for staff to have confidential discussions on any work or personal issues or concerns. These two programmes are aimed and enhancing the wellness and wellbeing of staff and giving staff a timely voice.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quality improvement data is also benchmarked monthly with the other seven aged related care services in the CTCA. This includes falls with and without associated injury, pressure injuries, urinary tract infections and skin tears - numbers reported per 1000 bed days. The GM reviews data and quality improvement projects implemented where applicable. In 2019, Cambridge Resthaven commenced participation in another quality indicator programme to further evaluate falls data, rates and trends over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is a restraint free facility. The restraint and enabler register sighted with information since May 2013 does not include any restraints in use. Regular internal audits are conducted, which cover relevant aspects of service including aspects of care, documentation and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If an issue or deficit is found, a corrective action is put in place to address the situation. Corrective actions have been developed and implemented. Quality information is shared with staff via shift handover as well as via the monthly staff meetings. The minutes of staff meetings are made available to staff. Staff interviewed verified they were kept well informed of relevant quality and risk information. Opportunities for improvement are discussed, along with the organisation’s expectations / policies. Quality and risk activities and outcomes are also discussed at the weekly ‘all team’ meetings, where all services are represented. Operational and quality and risk issues are discussed at this meeting, and monthly at the health and safety meeting.</w:t>
            </w:r>
          </w:p>
          <w:p w:rsidR="00EB7645" w:rsidRPr="00BE00C7" w:rsidP="00BE00C7">
            <w:pPr>
              <w:pStyle w:val="OutcomeDescription"/>
              <w:spacing w:before="120" w:after="120"/>
              <w:rPr>
                <w:rFonts w:cs="Arial"/>
                <w:b w:val="0"/>
                <w:lang w:eastAsia="en-NZ"/>
              </w:rPr>
            </w:pPr>
            <w:r w:rsidRPr="00BE00C7">
              <w:rPr>
                <w:rFonts w:cs="Arial"/>
                <w:b w:val="0"/>
                <w:lang w:eastAsia="en-NZ"/>
              </w:rPr>
              <w:t>Meetings are held with residents on a monthly basis to obtain resident feedback on food and the activities / diversional therapy programme. The minutes of three meetings were sighted.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were readily available for staff. These have been developed by an external consultant and localised to reflect the needs of Cambridge Resthaven When changes are made by the consultant to policies / procedures, an email communication is sent to the GM manager with details. One paper copy of policy and procedure documents is available for staff. Copies are also available electronically for staff. The general manager is responsible for document control processes. Policies and procedure are discussed where applicable during the staff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 / risks are identified in the hazard register. The hazard register and mitigation strategies have been recently reviewed. Organisation risks are documented in the quality and risk plan. The board of directors is currently reviewing how risk is documented and monitored at a governance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Applicable resident events are being reported, since the 1 July 2019, electronically in a timely manner via the resident electronic record system. Events are disclosed with the resident and/or designated next of kin. This was verified by residents and family members interviewed. Medication and staff injury / health and safety events are still being reported via paper based systems. A review of reported events including falls, skin tear, two medication errors, a pressure injury, a near miss event, and staff injuries demonstrated that incident reports are completed, investigated and responded to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Staff advise they communicate incidents and events to oncoming staff via the shift handover. Events have been discussed with staff at the staff meetings as verified by interview and detailed in meeting minutes sighted. The triage registered nurse on duty is responsible for investigating events reported during their duty. The electronic system includes communicating to the GM the number of open events. Currently the GM is the only person able to close out the incident / event. Data on all reported events can be readily obtained per resident or for a specified period of time. This includes the resident identification details, date and time of the event, location and staff reporting the event. Nursing staff noted the information is very useful and accessible to inform resident interRAI evaluations.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benchmarks fall, pressure injury, and other clinical indicator rates with seven other aged residential care facilities (per 1000 occupied bed days). Refer to 1.2.3. The GM advised a total of four essential notifications to the Ministry of Health have been made by Cambridge Resthaven since the last audit in relation to pressure injuries present on admission, with one worsening since admission. One event was subsequently determined not to be a pressure injury, but another type of wound. The GM can detail the other type of events that require reporting. There have been no events that required reporting to the Coroner.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completing an application form, interview, referee checks, police vetting, and validation of qualifications and practising certificates (APCs), where required. The job description / employment contract includes a statement advising staff of privacy / confidentiality requirements. A sample of staff records reviewed confirmed that policies are being consistently implemented and records retained. All employed and contracted registered health professionals (RHP’s) have a current annual practising certificate (APC). A register is maintained of these details.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or new staff are working towards completing the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education programme is in place with in-service education identified and several opportunities and topics are provided every month. </w:t>
            </w:r>
          </w:p>
          <w:p w:rsidR="00EB7645" w:rsidRPr="00BE00C7" w:rsidP="00BE00C7">
            <w:pPr>
              <w:pStyle w:val="OutcomeDescription"/>
              <w:spacing w:before="120" w:after="120"/>
              <w:rPr>
                <w:rFonts w:cs="Arial"/>
                <w:b w:val="0"/>
                <w:lang w:eastAsia="en-NZ"/>
              </w:rPr>
            </w:pPr>
            <w:r w:rsidRPr="00BE00C7">
              <w:rPr>
                <w:rFonts w:cs="Arial"/>
                <w:b w:val="0"/>
                <w:lang w:eastAsia="en-NZ"/>
              </w:rPr>
              <w:t>Care staff are encouraged to complete a New Zealand Qualification Authority education programme to meet the requirements of the provider’s agreement with the DHB. There are currently at least five staff with foundation level two, 27 staff with a dementia care related qualification, eight staff with a level three qualification, and three staff with diversional therapy qualification. There are currently seven staff enrolled and/or working towards completing a dementia care qualification, four staff working towards a level three qualification (with two additional staff on hold), three staff working towards a level four qualification, and one staff member completing the diversional therapy qualification. The staff educator is an approved assessor and interRAI trainer and provides some training for the other CTCA facilities. The team leaders are reported to have a level four qualification.</w:t>
            </w:r>
          </w:p>
          <w:p w:rsidR="00EB7645" w:rsidRPr="00BE00C7" w:rsidP="00BE00C7">
            <w:pPr>
              <w:pStyle w:val="OutcomeDescription"/>
              <w:spacing w:before="120" w:after="120"/>
              <w:rPr>
                <w:rFonts w:cs="Arial"/>
                <w:b w:val="0"/>
                <w:lang w:eastAsia="en-NZ"/>
              </w:rPr>
            </w:pPr>
            <w:r w:rsidRPr="00BE00C7">
              <w:rPr>
                <w:rFonts w:cs="Arial"/>
                <w:b w:val="0"/>
                <w:lang w:eastAsia="en-NZ"/>
              </w:rPr>
              <w:t>At least an annual one on one meeting (performance appraisal) is required for all staff. These were current in all randomly selected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There are four volunteers that assist with the diversional therapy and activities programme, under the oversight of the diversional therapy team. They are required to complete an application form, are interviewed, police vetted, and complete an orientation programme and records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Staff working in the dementia unit have completed a dementia care related industry approved qualification or are working towards this as required to meet the provider’s contract with WDHB (refer to 1.2.7.5).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leader (CNL) works 40 hours a fortnight. There is a staff educator (SE) who is an approved interRAI trainer. Nine out of the ten registered nurses and the staff educator have current interRAI competency.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GM, CNL and SE there are ten registered nurses employed. There are 38 health care assistants, five team leaders (one is an enrolled nurse), five housekeepers, one laundry staff member, five activities / diversional therapy staff, two maintenance staff and six members in the administration / corporate team.  Laundry services are provided off site. The catering and cleaning services are provided by contractors.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adjusts staffing levels to meet the changing needs of residents. The GM monitors resident numbers, and level of care and reports on staffing to the board monthly. There is always at least one registered nurse on duty, who is called the triage nurse. The triage nurse is responsible for short term resident admissions, checking the administration of specific medicines and monitoring residents who are unwell. The triage nurse normally works up to three days in a row. In addition to completing a set number of triage shifts on the roster, the registered nurses are working as self-managing practitioners. The RNs have responsibility for between 8-10 residents in a ‘keyworker’ role. They are required to ensure all assessments and care plans are completed and updated, wound care is provided, GP routine reviews are conducted and communication with residents and family is timely. The RNs can work flexible hours of their choice in their ‘keyworker role’ so long as they work their number of contracted hours and their allocated residents care needs are being met. This new system was implemented in early 2019. Email feedback from family members sighted was positive and RN satisfaction and RN turnover rates have reduced.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care assistants are rostered to work in designated areas. There is always a minimum of one caregiver in the dementia unit and two caregivers in the hospital and rest home areas including overnight. Additional caregivers are rostered in the morning and afternoon to ensure sufficient staffing to meet residents’ care needs. </w:t>
            </w:r>
          </w:p>
          <w:p w:rsidR="00EB7645" w:rsidRPr="00BE00C7" w:rsidP="00BE00C7">
            <w:pPr>
              <w:pStyle w:val="OutcomeDescription"/>
              <w:spacing w:before="120" w:after="120"/>
              <w:rPr>
                <w:rFonts w:cs="Arial"/>
                <w:b w:val="0"/>
                <w:lang w:eastAsia="en-NZ"/>
              </w:rPr>
            </w:pPr>
            <w:r w:rsidRPr="00BE00C7">
              <w:rPr>
                <w:rFonts w:cs="Arial"/>
                <w:b w:val="0"/>
                <w:lang w:eastAsia="en-NZ"/>
              </w:rPr>
              <w:t>The GM is normally on call when not on site. Staff report that good access to advice is available when needed. Care staff reported there were adequate staff available to complete the work allocated to them. Residents and family interviewed supported this. Observations and review of three weeks of rosters confirmed adequate staff cover has been provided, with staff replaced in any unplanned absence. Agency staff are rarely used and when applicable and are provided with an orientation to the service and key policies and procedures at the commencement of their first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 volunteers that assist with the diversional therapy and activities programme work under the oversight of the diversional therapy team. </w:t>
            </w:r>
          </w:p>
          <w:p w:rsidR="00EB7645" w:rsidRPr="00BE00C7" w:rsidP="00BE00C7">
            <w:pPr>
              <w:pStyle w:val="OutcomeDescription"/>
              <w:spacing w:before="120" w:after="120"/>
              <w:rPr>
                <w:rFonts w:cs="Arial"/>
                <w:b w:val="0"/>
                <w:lang w:eastAsia="en-NZ"/>
              </w:rPr>
            </w:pPr>
            <w:r w:rsidRPr="00BE00C7">
              <w:rPr>
                <w:rFonts w:cs="Arial"/>
                <w:b w:val="0"/>
                <w:lang w:eastAsia="en-NZ"/>
              </w:rPr>
              <w:t>At least one staff member on duty (the registered nurse) has a current first aid certificate. Diversional therapy staff involved with taking residents on outings also have a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 Cambridge Resthaven is transiting to a new electronic resident management system with the integration of electronic activities care plans the next aspect to be included.  Assessments, care plans and day to day cares documentation were being completed electronically by all disciplines including the nursing team, GPs, activities and physiotherapist. Paper based individual resident activity plans had been removed from the current paper-based records in use by staff, however, were present in another paper based record located in the same office. The facility does not consider any documents are archived until the resident is discharged.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Level of care records from NASC were sighted in the reviewed files.  The admission process is managed by the RNs, clinical nurse leader (CNL) and the general manager (GM). Prospective residents and/or their families are encouraged to visit the facility prior to admission and are provided with written information about the service and the admission process. The organisation seeks updated information from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Where required, for example, for residents in the dementia unit, admission agreements were signed by the EPOA’s.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provided as appropriate.  The service uses the DHB’s ‘yellow envelope’ system to facilitate transfer of residents to and from acute care services. There is open communication between all services, the resident and the family/whānau. The key nurse worker is responsible for following up on residents when they are transferred to acute services with the help of the liaison officer. At the time of transition between services, appropriate information is provided for the ongoing management of the resident.  All referrals are documented in the progress notes as was sighted in records reviewed. A family member of a resident transferred to the acute care hospital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and paper-based system for short term stay residents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are in place to ensure this is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an external contractor and is in line with recognised nutritional guidelines for older people.  The menu follows six-weekly summer and winter cycles and has been reviewed by a qualified dietitian within the last two years.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Food temperatures, including for high risk items, are monitored appropriately and recorded as part of the plan. Fridges and freezer temperatures are monitored and recorded daily. Records were sighted. The food services manager is a chef and has completed a safe food handling qualification, with kitchen assistants completing relevant food handling training. The training records were sighted.</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Snacks and drinks are provided for residents in the dementia unit on a 24-hour basis.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clean. Decanted food was labelled with dates and covered. Cleaning schedules were in place and implemented. The food procurement system is in place and is managed by the head chef.</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residents and family interviewed, satisfaction surveys and resident meeting minutes.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on the electronic system using validated nursing assessment tools, such as a pain scale, falls risk, skin integrity and nutritional screening, to identify any deficits and to inform care planning. The sample of care plans reviewed had an integrated range of resident-related information.  All residents have current interRAI assessments completed by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needs of residents, and the outcomes of the integrated assessment process and other relevant clinical information. The needs identified by the interRAI assessments were reflected in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Triggers and interventions for identified behaviours of concern were documented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services provided to residents are adequate and appropriate to meet the residents’ assessed needs and desired outcomes as verified by interviewed residents and families. Advice is sought from other health providers or external health agencies where appropriate to ensure adequate support is provided. Referral documents were sighted in reviewed files.  The attention to meeting a diverse range of resident’s individualised needs was evident in all areas of service provision. The GPs interviewed, verified that medical input is sought in a timely manner, that medical orders are followed, and care is implemented promptly. Interviewed care staff confirmed that care provided as outlined in the documentation. A range of equipment and resources were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three trained diversional therapists holding the national Certificate in Diversional Therapy (DT) and two activities assistants, one of whom is undergoing DT training. The activities team attend regular workshops and other meetings related to planning and providing meaningful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completed on admission to ascertain residents’ needs, interests, abilities and social requirements by the DTs. Activities assessments are regularly reviewed to help formulate an activities programme that is meaningful to the residents. The resident’s activity needs are evaluated when residents’ ability and needs change and as part of the formal six-monthly care plan review. The service is transitioning to electronic care plans. Individual resident’s activity plans and 24-hour activity plans were present in the paper based records (refer 1.2.9). Staff interviewed in the dementia unit were able to detail the interventions required for individual residents to keep them occupied in a meaningful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community events are offered. Residents and families/whānau are involved in evaluating and improving the programme through residents’ meetings and satisfaction surveys. Interviewed residents confirmed they find the programme satisfactory. </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with dementia. Activities are offered at times when residents are most physically active and/or restless.  This includes short walks into the secure gardens, newspaper reading, van outings, music entertainment, colouring, manicure, sing-along, jigsaw puzzles, movies, word games and dancing.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triage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following six-monthly interRAI reassessments, or as residents’ needs change. Where progress is different from expected, the service responds by initiating changes to the plan of care. Examples of short-term care plans being consistently reviewed, and progress evaluated as clinically indicated were noted for acute infections and wounds.  When necessary, unresolved problems are added to long term care plans.  Interviewed residents and families/whānau confirmed being involved in evaluation of progress and any resulting changes or in multidisciplinary review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All the general practitioners providing services are based locally in Cambridge. The resident can keep their normal general practitioner.  If the need for other non-urgent services are indicated or requested, the GP or RN sends a referral to seek specialist input.  Copies of referrals were sighted in residents’ files, including to district nurses. The resident and the family/whānau are kept informed of the referral process, as verified by documentation and interviews. Any acute/urgent referrals are attended to immediately, such as sending the resident to the DHB emergency department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detail how waste is to be segregated and disposed. The policy content aligns with current accepted practice. Recycling of cardboard, plastic and glass is occurring.</w:t>
            </w:r>
          </w:p>
          <w:p w:rsidR="00EB7645" w:rsidRPr="00BE00C7" w:rsidP="00BE00C7">
            <w:pPr>
              <w:pStyle w:val="OutcomeDescription"/>
              <w:spacing w:before="120" w:after="120"/>
              <w:rPr>
                <w:rFonts w:cs="Arial"/>
                <w:b w:val="0"/>
                <w:lang w:eastAsia="en-NZ"/>
              </w:rPr>
            </w:pPr>
            <w:r w:rsidRPr="00BE00C7">
              <w:rPr>
                <w:rFonts w:cs="Arial"/>
                <w:b w:val="0"/>
                <w:lang w:eastAsia="en-NZ"/>
              </w:rPr>
              <w:t>Chemicals sighted were stored in designated and secure areas. Material safety data sheets detailing actions to take in the event of exposure were sighted for chemicals in use. Applicable staff have been provided with training on chemical safety and handling. A hazardous substance register is maintained.</w:t>
            </w:r>
          </w:p>
          <w:p w:rsidR="00EB7645" w:rsidRPr="00BE00C7" w:rsidP="00BE00C7">
            <w:pPr>
              <w:pStyle w:val="OutcomeDescription"/>
              <w:spacing w:before="120" w:after="120"/>
              <w:rPr>
                <w:rFonts w:cs="Arial"/>
                <w:b w:val="0"/>
                <w:lang w:eastAsia="en-NZ"/>
              </w:rPr>
            </w:pPr>
            <w:r w:rsidRPr="00BE00C7">
              <w:rPr>
                <w:rFonts w:cs="Arial"/>
                <w:b w:val="0"/>
                <w:lang w:eastAsia="en-NZ"/>
              </w:rPr>
              <w:t>Appropriate personal protective equipment (PPE) was available on site including disposable gloves, aprons, and eye / face protection. Staff advised they would report inadvertent exposures to hazardous substances and blood and body fluids via the incident reporting system. Applicable staff and contractors confirmed receiving education on handling chemicals and waste as part of health and safety induction and orientation where relevant to their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12 May 2020) is publicly displayed. The four facility vehicles have a current registration and warrant of fitness. </w:t>
            </w:r>
          </w:p>
          <w:p w:rsidR="00EB7645" w:rsidRPr="00BE00C7" w:rsidP="00BE00C7">
            <w:pPr>
              <w:pStyle w:val="OutcomeDescription"/>
              <w:spacing w:before="120" w:after="120"/>
              <w:rPr>
                <w:rFonts w:cs="Arial"/>
                <w:b w:val="0"/>
                <w:lang w:eastAsia="en-NZ"/>
              </w:rPr>
            </w:pPr>
            <w:r w:rsidRPr="00BE00C7">
              <w:rPr>
                <w:rFonts w:cs="Arial"/>
                <w:b w:val="0"/>
                <w:lang w:eastAsia="en-NZ"/>
              </w:rPr>
              <w:t>Cambridge Resthaven applied to the Ministry of Health in late 2018 to request five beds in the secure dementia unit to be multipurpose and used either for the provision of rest home and hospital level care or all used for dementia level care, depending on service demand. The secure dementia unit was built with 20 bedrooms. Some have ensuite bathrooms. There are five bedrooms that are in a hallway on one side of the unit adjoining the rest home and hospital area. There is a door that can be programmed to be opened by swipe card at two locations in this corridor. This enables staff to secure the dementia unit with either 15 bedrooms or 20 bedrooms. The lounge and dining / kitchenette area in the dementia unit are not affected by this change. There are sufficient bathroom facilities in the dementia unit regardless of which door is being used for security. The five bedrooms are suitable for either rest home, hospital or dementia level of care residents.</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were appropriate to the resident groups and setting. There is an appropriate and secure external area attached to the dementia unit where residents can go walking.</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processes they should follow if any repairs or maintenance is required and that any requests are appropriately actioned. Residents and family members were happy with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Clinical equipment is calibrated. The environment is fit for purpose. The temperature of hot water is not always within an appropriate range.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some bedrooms with ensuite bathrooms. Some ensuite bathrooms are shared between two bedrooms. Hand basins are present in each resident’s bedroom or ensuite. Appropriately secured handrails are provided in the toilet / shower areas, and other equipment / accessories are available to promote residents’ independence. There are separate bathroom facilities for staff and visitors to use. Privacy locks and signs are present on communal bathroom facilities where this aspect was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except two bedrooms provide single accommodation. One dual occupancy room is shared by a married couple and the other by residents who have been sharing a room for a long time (refer to 1.1.3). There are privacy curtains present around these bed spaces. Rooms are personalised with furnishings, photos and other personal items displayed. Residents were sighted mobilising inside and outside the facility independently and with staff support, including while using a mobility aid.</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interviewed advised there is sufficient space for the residents to mobilise, including when assistance was required. The residents and family members interviewed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except four residents are in single occupancy rooms. There are areas throughout the facility that residents can use for activities or to meet with family and friends. This includes the lounge and dining rooms, and outside / courtyard areas. There is also a chapel / quiet room available. The residents and family members interviewed confirmed that there is enough space available for residents and support persons to use in addition to the residents’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activity lists detail how the cleaning services are to be provided. The daily cleaning services are provided by contractors including on weekends. All laundry including resident’s personal clothing is sent offsite to a commercial laundry daily and washed and returned folded and packaged per resident. Processes are in place with the laundry to place microchips in each garment for the naming of long term residents’ clothes on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 members interviewed confirmed the rest home and hospital is kept clean and tidy and residents’ laundry is normally washed and returned in a timely manner. Audits of cleaning and laundry services were undertaken as scheduled and reports demonstrated compliance with the service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stored in designated secure cupboards or rooms which are locked. Two cleaners interviewed confirmed being provided with training on the safe handling of chemicals and had written instructions readily available on the use of products and required cleaning processes / activities. </w:t>
            </w:r>
          </w:p>
          <w:p w:rsidR="00EB7645" w:rsidRPr="00BE00C7" w:rsidP="00BE00C7">
            <w:pPr>
              <w:pStyle w:val="OutcomeDescription"/>
              <w:spacing w:before="120" w:after="120"/>
              <w:rPr>
                <w:rFonts w:cs="Arial"/>
                <w:b w:val="0"/>
                <w:lang w:eastAsia="en-NZ"/>
              </w:rPr>
            </w:pPr>
            <w:r w:rsidRPr="00BE00C7">
              <w:rPr>
                <w:rFonts w:cs="Arial"/>
                <w:b w:val="0"/>
                <w:lang w:eastAsia="en-NZ"/>
              </w:rPr>
              <w:t>Instructions for managing emergency exposures to chemicals is readily available to applicable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Security and civil defence ‘flip charts’ direct the facility in their preparation for disasters and described the procedures to be followed in the event of a fire or other emergency. The current fire evacuation plan was approved by the New Zealand Fire Service on 17 September 2014. The GM advised no change was required to the fire evacuation plan in relation to the changes in bed use (five beds) that can now be used for either dementia level care or rest home / hospital level of care. A trial evacuation takes place six-monthly with a copy sent to the New Zealand Fire Service, the most recent being on 13 August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(but not limited to) food, water, lighting, blankets, radio, walkie talkies, water purifying tablets, and other commonly used consumables. A gas BBQ was present. Emergency lighting is powered by uninterrupted power supply (UPS) batteries. There is a swimming pool on the complex which could be used for potable water. The emergency plan considers the needs of residents with dementia in an emergency.</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bells are present in bathrooms, bed spaces and some corridor areas. They alert via an audible sound and notification of the room number/location through to a centralised panel. Three call bells tested at random were fully functioning. At least one HCA in each area wears a pager. Routine calls alert on all call bell communication panels and to the staff pagers. Staff advise emergency calls are alerted throughout the entire complex and have a different alert tone.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Internal security cameras are in use monitoring public areas and access points. Signage alerts residents and visitors that cameras are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external windows. Heating is provided by a combination of wall mounted or ceiling mounted heat panels or heat pumps. Areas were at an appropriate temperature and well ventilated throughout the audit and residents and families confirmed the facilities are maintained at a comfortable temperature. There are currently no residents that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infection prevention and control (IPC) programme to minimises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educator is the designated infection control coordinator (ICC), whose role and responsibilities are defined in the infection control policy. Infection control matters, including surveillance results, are reported monthly to the general manager, and tabled at the quality/risk committee meeting and discussed in staff meetings.  This committee includes the general manager, clinical nurse leader, ICC and the health and safety officer.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with an infectious condition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The ICC has completed external training in infection prevention and control and attended relevant study days, as verified in training records sighted.  Additional support and information is obtained from the infection prevention and control team at the local DHB, the community laboratory, the GP and public health unit, as required.  The ICC and the RNs have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 There have been no outbreaks of infection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within the past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suitably qualified ICC.  Content of the training is documented and evaluated to ensure it is relevant, current and understood.  A record of attendance and evaluations is maintained; records sighted.  When an infection outbreak or an increase in infection incidence has occurred, there is evidence that additional staff education has been provided in response. Toolbox talks and staff meeting minutes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ICC reviews all reported infections, and these are documented on the infections reports by the RNs.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month and this is reported to the general manager and all staff in staff meetings.  Data is benchmarked externally within a group of similar community trust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provide guidance on the safe use of both restraints and enablers. The facility is restraint free and staff report has been restraint free since prior to the last audit. Only enablers are noted as being used in the restraint / enabler register sighted with recorded information dating back to 2013. The clinical nurse leader is the restraint coordinator. Staff interviewed could detail the difference between restraint and enablers. The approved enablers are bed rails and lap belts. Training on restraint minimisation and use of enablers is included in the staff orientation and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ten residents had enablers in use. The use of enablers is detailed in the three applicable sampled care plans. A resident interviewed confirmed using bedrails at night at the resident’s choice, and that a lap belt was not required during the day for safe mobilisation. Ongoing use of enablers is reviewed within a month of commencing and then at least every six months during care plan reviews.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6917"/>
        <w:gridCol w:w="2689"/>
        <w:gridCol w:w="13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that most aspects of the resident’s physical environment and facilities are fit for their purpose and maintained. The testing and tagging of facility owned electrical equipment and calibration of bio medical equipment was current as confirmed in documentation reviewed, interviews with maintenance personnel and observation of the environment. Hot water temperatures are monitored monthly on a rotating basis of some resident care areas; however, the testing schedule needs review. The hot water temperature in only one resident bedroom is being monitored in the dementia unit, and showers are not included in the hot water testing regime. The temperature in one resident room has been between 46 and 53 degrees Celsius on all three occasions tested since April 2019. The temperature of hot water in some other resident care areas is low, with a recorded temperature of between 35-42 degrees Celsius during the same period. The newly employed property and development manager (has been in the role eight days as at audit), has commenced a review of hot water systems with external trade contractors. </w:t>
            </w:r>
          </w:p>
          <w:p w:rsidR="00EB7645" w:rsidRPr="00BE00C7" w:rsidP="00BE00C7">
            <w:pPr>
              <w:pStyle w:val="OutcomeDescription"/>
              <w:spacing w:before="120" w:after="120"/>
              <w:rPr>
                <w:rFonts w:cs="Arial"/>
                <w:b w:val="0"/>
                <w:lang w:eastAsia="en-NZ"/>
              </w:rPr>
            </w:pPr>
            <w:r w:rsidRPr="00BE00C7">
              <w:rPr>
                <w:rFonts w:cs="Arial"/>
                <w:b w:val="0"/>
                <w:lang w:eastAsia="en-NZ"/>
              </w:rPr>
              <w:t>Staff work to keep the environment hazard free. Residents independence is promoted. Grab rails are present in the bathrooms and corridors where this was checked.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temperature of hot water is being monitored on a regular basis. The current testing plan is not sufficiently representative of the building footprint. For example, it only includes one resident’s bedroom in the dementia unit and showers are not being tested. Where temperatures are above the recommended range in one area, or consistently below the recommended range in other areas there has not been timely action and follow-up.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hot water testing programme includes all resident care areas and the water temperature is within the required temperature range.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Cambridge Resthaven Trust Board Incorporated - Cambridge Resthaven</w:t>
    </w:r>
    <w:bookmarkEnd w:id="58"/>
    <w:r>
      <w:rPr>
        <w:rFonts w:cs="Arial"/>
        <w:sz w:val="16"/>
        <w:szCs w:val="20"/>
      </w:rPr>
      <w:tab/>
      <w:t xml:space="preserve">Date of Audit: </w:t>
    </w:r>
    <w:bookmarkStart w:id="59" w:name="AuditStartDate1"/>
    <w:r>
      <w:rPr>
        <w:rFonts w:cs="Arial"/>
        <w:sz w:val="16"/>
        <w:szCs w:val="20"/>
      </w:rPr>
      <w:t>12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