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Hardwill Group Limited - The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Hardwill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Residential disability services - Psychiatric; Residential disability services – Sensory</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September 2019</w:t>
      </w:r>
      <w:bookmarkEnd w:id="7"/>
      <w:r w:rsidRPr="009418D4">
        <w:rPr>
          <w:rFonts w:cs="Arial"/>
        </w:rPr>
        <w:tab/>
        <w:t xml:space="preserve">End date: </w:t>
      </w:r>
      <w:bookmarkStart w:id="8" w:name="AuditEndDate"/>
      <w:r w:rsidR="00A4268A">
        <w:rPr>
          <w:rFonts w:cs="Arial"/>
        </w:rPr>
        <w:t>25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Build a new 84 bed facility with associated services that will link to the existing facility. Estimated start date is the end of December 2019.</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Lodge provides residential disability services (intellectual, physical, sensory and psychiatric), rest home and hospital level care for up to 30 residents. The service is operated by the Hardwill Group Limited and managed by two nurse managers/registered nurses. </w:t>
      </w:r>
    </w:p>
    <w:p w:rsidRPr="00A4268A">
      <w:pPr>
        <w:spacing w:before="240" w:line="276" w:lineRule="auto"/>
        <w:rPr>
          <w:rFonts w:eastAsia="Calibri"/>
        </w:rPr>
      </w:pPr>
      <w:r w:rsidRPr="00A4268A">
        <w:rPr>
          <w:rFonts w:eastAsia="Calibri"/>
        </w:rPr>
        <w:t>Residents and a family member stated the care provided is of a high standard.</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a family member, managers, staff and a general practitioner.</w:t>
      </w:r>
    </w:p>
    <w:p w:rsidRPr="00A4268A">
      <w:pPr>
        <w:spacing w:before="240" w:line="276" w:lineRule="auto"/>
        <w:rPr>
          <w:rFonts w:eastAsia="Calibri"/>
        </w:rPr>
      </w:pPr>
      <w:r w:rsidRPr="00A4268A">
        <w:rPr>
          <w:rFonts w:eastAsia="Calibri"/>
        </w:rPr>
        <w:t xml:space="preserve">The areas requiring improvement from the last certification audit relating to staffing levels and the door widths for the proposed dual-purpose rooms have been addressed.  There are no areas requiring improvement from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interpreter services if required.  </w:t>
      </w:r>
    </w:p>
    <w:p w:rsidRPr="00A4268A">
      <w:pPr>
        <w:spacing w:before="240" w:line="276" w:lineRule="auto"/>
        <w:rPr>
          <w:rFonts w:eastAsia="Calibri"/>
        </w:rPr>
      </w:pPr>
      <w:r w:rsidRPr="00A4268A">
        <w:rPr>
          <w:rFonts w:eastAsia="Calibri"/>
        </w:rPr>
        <w:t>The nurse managers are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Hardwill Group Limited is the governing body and is responsible for the service provided.  A business plan including aims, ambitions, scope and review and quality and risk management systems are fully implemented at The Lodge. Systems are in place for monitoring the service, including regular reporting by the managers to the owners/directors.</w:t>
      </w:r>
    </w:p>
    <w:p w:rsidRPr="00A4268A">
      <w:pPr>
        <w:spacing w:before="240" w:line="276" w:lineRule="auto"/>
        <w:rPr>
          <w:rFonts w:eastAsia="Calibri"/>
        </w:rPr>
      </w:pPr>
      <w:r w:rsidRPr="00A4268A">
        <w:rPr>
          <w:rFonts w:eastAsia="Calibri"/>
        </w:rPr>
        <w:t>The facility is managed by two nurse managers/registered nurses who have experience in aged care. The managers are supported by the owners/directors.</w:t>
      </w:r>
    </w:p>
    <w:p w:rsidRPr="00A4268A">
      <w:pPr>
        <w:spacing w:before="240" w:line="276" w:lineRule="auto"/>
        <w:rPr>
          <w:rFonts w:eastAsia="Calibri"/>
        </w:rPr>
      </w:pPr>
      <w:r w:rsidRPr="00A4268A">
        <w:rPr>
          <w:rFonts w:eastAsia="Calibri"/>
        </w:rPr>
        <w:t xml:space="preserve">There is an internal audit programme. Adverse events are documented on incident/accident forms. Corrective action plans are developed, implemented, monitored and signed off as being completed to address any areas that require improvement.  Management, staff and residents’ meetings are held on a regular basis. Actual and potential risks including health and safety risks are identified and mitigated. </w:t>
      </w:r>
    </w:p>
    <w:p w:rsidRPr="00A4268A">
      <w:pPr>
        <w:spacing w:before="240" w:line="276" w:lineRule="auto"/>
        <w:rPr>
          <w:rFonts w:eastAsia="Calibri"/>
        </w:rPr>
      </w:pPr>
      <w:r w:rsidRPr="00A4268A">
        <w:rPr>
          <w:rFonts w:eastAsia="Calibri"/>
        </w:rPr>
        <w:t>Human resources processes are followed. An in-service education programme is provided.</w:t>
      </w:r>
    </w:p>
    <w:p w:rsidRPr="00A4268A">
      <w:pPr>
        <w:spacing w:before="240" w:line="276" w:lineRule="auto"/>
        <w:rPr>
          <w:rFonts w:eastAsia="Calibri"/>
        </w:rPr>
      </w:pPr>
      <w:r w:rsidRPr="00A4268A">
        <w:rPr>
          <w:rFonts w:eastAsia="Calibri"/>
        </w:rPr>
        <w:t>A documented rationale for determining staffing levels and skill mix is in place. Registered nurses are rostered on duty at all times.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Suitably qualified professionals oversee the care and support provided to residents. The multidisciplinary team, including a registered nurse and general practitioner, assesses residents’ needs on admission.  Care plans are individualised and are based on a comprehensive range of information. Any issues of concern that arise for residents are addressed immediately and appropriately. Files reviewed demonstrated that the care provided and needs of residents are reviewed and evaluated on a regular and timely basis.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enables them to maintain links with their community.  </w:t>
      </w:r>
    </w:p>
    <w:p w:rsidRPr="00A4268A" w:rsidP="00621629">
      <w:pPr>
        <w:spacing w:before="240" w:line="276" w:lineRule="auto"/>
        <w:rPr>
          <w:rFonts w:eastAsia="Calibri"/>
        </w:rPr>
      </w:pPr>
      <w:r w:rsidRPr="00A4268A">
        <w:rPr>
          <w:rFonts w:eastAsia="Calibri"/>
        </w:rPr>
        <w:t>Safe medicine management systems are in place.  Medicines are administered by staff who are competent to do so.</w:t>
      </w:r>
    </w:p>
    <w:p w:rsidRPr="00A4268A" w:rsidP="00621629">
      <w:pPr>
        <w:spacing w:before="240" w:line="276" w:lineRule="auto"/>
        <w:rPr>
          <w:rFonts w:eastAsia="Calibri"/>
        </w:rPr>
      </w:pPr>
      <w:r w:rsidRPr="00A4268A">
        <w:rPr>
          <w:rFonts w:eastAsia="Calibri"/>
        </w:rPr>
        <w:t xml:space="preserve">Residents verified satisfaction with meals. Food services are provided from the on-site kitchen. The menu meets the nutritional needs of the residents, special needs are catered for and personal preferences are respected. Systems in place ensure food is safely managed.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was displayed. There have been no structural alterations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clear policies and procedures that meet the requirements of the restraint minimisation and safe practice standard. The facility maintains a restraint free environment. There were no residents using a restraint or enablers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6"/>
        <w:gridCol w:w="1280"/>
        <w:gridCol w:w="100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complaints information and forms are available at the main entrance. There have been seven complaints since the last audit and these have been entered into the complaints register. The complaints were reviewed and actions taken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managers are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reported there have been no complaint investigations to the Health and Disability Commissioner (HDC), the Ministry of Health, District Health Board (DHB), Accident Compensation Corporation (ACC), Coroner or Police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are kept well informed about any changes to their own or their relative’s status and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local DHB if required. There is also staff diversity and a number of different first languages can be utilised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by the auditors evidenced effective communication and interaction between staff and residents. The GP stated communication between the nurse managers and the GP is very good.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which is reviewed annually, outlines the purpose, scope, aims, ambitions, direction and goals of the organisation and includes an organisational chart. The organisation’s philosophy and business planning reflected a person/family centred approach. The owners, who are on site each day and the nurse managers discuss daily all activities concerning the service. Formal management meetings are held at least three monthly with the owners and review of meeting minutes evidenced good reporting of information relating to monitoring of performance including but not limited to occupancy, emerging risks and quality information. The owners/directors have experience in owning aged care facilities and have owned and built facilities prior to owning The Lodge. The owners provide additional support and assistance to the nurse managers.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two nurse managers who work full time and hold relevant qualifications. Both managers are RNs, one manager has been in the role since 2004. The other manager has been in the role for 18 months and has experience in hospice care and aged care at the local DHB. Responsibilities and accountabilities are defined in a job descriptions and individual employment agreements. Both managers have sound knowledge of the sector, regulatory and reporting requirements and have attended appropriate ongoing education. The managers work four days on and four days off so that there is a manager on duty seven days a week with overlap for discussing all activities concerning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local DHB, ACC and the MoH for aged related residential care; YPD – residential non-age care; long term chronic health conditions (LTCH); and psychiatric residential care.  There were: thirteen residents (10 Rest home and three hospital level) - aged residential care; one resident -  psychiatric disability; seven residents- YPD; one resident - ACC and eight residents – (seven rest home and one hospital level) LTCH. Six dual purpose beds have been approved. The nurse manager advised there is a waiting list of people who want to reside at The Lodge.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quality policy statement with goals and objectives. Quality and risk management plans guide the quality programme and include principles and quality targets for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for incident/accidents, satisfaction surveys, internal audits, infections and medication errors are being collected, collated and analysed to identify trends. Corrective actions are developed and implemented with monitoring to make sure corrective actions have been effective. Management, staff and resident meeting minutes reviewed evidenced regular reporting and review of data. Trends are identified, including graphs that are generated month by month and indicate what time of the day incidents/accidents are occurring. The managers demonstrated sound knowledge relating to quality and risk management. Staff reported they are kept fully informed and discuss quality data at their meetings including trends and what corrective actions have been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 for 2019 evidenced residents and families are satisfied or very satisfied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embedded at The Lodge. They are relevant to the scope and complexity of the service, reflected current accepted good practice. Policies and procedures are reviewed two yearly and were current. Staff are alerted to any new or reviewed policies via the communication book and are available for staff electronically Staff interviewed confirmed this. Obsolete documents are removed and archived into an electronic file with a hard copy register maintained. Staff also confirmed the policies and procedures provide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Actual and potential risks are identified and documented. The hazard register includes clinical, environment, staffing and cleaning and laundry. One of the managers has overview of health and safety, is responsible for the management of hazards, including putting in place appropriate controls to eliminate or minimise all hazards on site. Interview with the manager confirmed this. An actual hazards/risk register is on the wall in the office for staff to enter information and is discussed at handover. The manager demonstrated a sound understanding of health and safety requirements. Staff confirmed they understood and implemented the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unplanned or untoward events are documented by staff on hard copy forms and are reviewed by the nurse managers. Information is entered into a monthly incident/accident analysis register. The nurse managers are responsible for the development of any corrective actions and close out. Review of the register, incident/accident reports and interview of staff indicated appropriate management of adverse events.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A family member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essential notification responsibilities. The nurse manager stated there have been no essential notifications to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based on relevant legislation and good employment practices. Staff files reviewed included job descriptions which outline accountabilities, responsibilities and authority, employment agreements, references, completed orientation, performance appraisals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an induction prior to completing the orientation programme. The entire orientation process, including completion of competencies, takes up to two months to complete and staff performance is reviewed at the end of this period. Orientation for staff covers the essential components of the service provided. Staff reported the orientation process prepared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There is a focus on continuing education and care staff are encouraged and supported to complete a New Zealand Qualification Authority (NZQA) education programme. The nurse manager advised apart from new staff, all care staff have attended NZQA level 2. One of the nurse managers is the Careerforce assessor for the facility and staff are encouraged to complete further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 for 2019 was reviewed. Education is provided in several ways. Group sessions where external educators come into the facility, staff meetings have an education component where staff learn on-line and complete a quiz for each subject. Registered nurses attend external sessions as well and bring back knowledge to share with the rest of the team. Competencies were current, including medication competencies for the RNs and HCAs as second checkers.  </w:t>
            </w:r>
          </w:p>
          <w:p w:rsidR="00EB7645" w:rsidRPr="00BE00C7" w:rsidP="00BE00C7">
            <w:pPr>
              <w:pStyle w:val="OutcomeDescription"/>
              <w:spacing w:before="120" w:after="120"/>
              <w:rPr>
                <w:rFonts w:cs="Arial"/>
                <w:b w:val="0"/>
                <w:lang w:eastAsia="en-NZ"/>
              </w:rPr>
            </w:pPr>
            <w:r w:rsidRPr="00BE00C7">
              <w:rPr>
                <w:rFonts w:cs="Arial"/>
                <w:b w:val="0"/>
                <w:lang w:eastAsia="en-NZ"/>
              </w:rPr>
              <w:t>Four RNs are interRAI trained and have current competencies. There is at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evidenced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Staff also confirmed their attendance at on-going in-service education and that their performance appraisal was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 to provide safe service delivery. Currently the total number of staff employed is at 22. Registered nurse cover is provided 24 hours, seven days a week. The finding from the last certification audit has been addressed. The nurse manager and the owner reported the rosters are adjusted to meet the changing needs of residents, resident acuity including interRAI, occupancy and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managers are rostered on call after hours for the clinical service and the owners, who live next to the facility, for all other matters. Six RNs, including the nurse managers are currently employed, with one RN starting their orientation on the day of the audit. The RNs are experienced in working in the aged care sector. There is a range of health care assistants (HCAs) who have been working at The Lodge with timeframes ranging from new to many years. Apart from the nurse managers there is another RN on duty during the day and two HCAs. On the night shift there is an RN and an HCA on duty.</w:t>
            </w:r>
          </w:p>
          <w:p w:rsidR="00EB7645" w:rsidRPr="00BE00C7" w:rsidP="00BE00C7">
            <w:pPr>
              <w:pStyle w:val="OutcomeDescription"/>
              <w:spacing w:before="120" w:after="120"/>
              <w:rPr>
                <w:rFonts w:cs="Arial"/>
                <w:b w:val="0"/>
                <w:lang w:eastAsia="en-NZ"/>
              </w:rPr>
            </w:pPr>
            <w:r w:rsidRPr="00BE00C7">
              <w:rPr>
                <w:rFonts w:cs="Arial"/>
                <w:b w:val="0"/>
                <w:lang w:eastAsia="en-NZ"/>
              </w:rPr>
              <w:t>A divisional therapist and two activities coordinators provide activities seven days a week. The kitchen has two cooks and a kitchen hand responsible for the meal service. There are two dedicated cleaners and HCAs undertake laundry for any resident who is not able to do their own.</w:t>
            </w:r>
          </w:p>
          <w:p w:rsidR="00EB7645" w:rsidRPr="00BE00C7" w:rsidP="00BE00C7">
            <w:pPr>
              <w:pStyle w:val="OutcomeDescription"/>
              <w:spacing w:before="120" w:after="120"/>
              <w:rPr>
                <w:rFonts w:cs="Arial"/>
                <w:b w:val="0"/>
                <w:lang w:eastAsia="en-NZ"/>
              </w:rPr>
            </w:pPr>
            <w:r w:rsidRPr="00BE00C7">
              <w:rPr>
                <w:rFonts w:cs="Arial"/>
                <w:b w:val="0"/>
                <w:lang w:eastAsia="en-NZ"/>
              </w:rPr>
              <w:t>Observations during the audit confirmed adequate staff cover is provided, including residents being helped with meals in a timely manner. Residents, a family member, staff and the GP interviewed demonstrated satisfaction with the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and procedures were current, described all aspects of medicine management and were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Medicines were stored safely in a locked medicine trolley in a locked office/medicine room, or in a locked cupboard in that room. The controlled drug storage cabinet was replaced on the day of audit when a lock was found to be faulty. Controlled drugs are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management system is used for safely recording the reconciliation, prescription and administration of medicines. Medicine administration was observed on the day of audit. The staff observed demonstrated good knowledge and had a clear understanding of their roles and responsibilities related to each stage of medicine management. Records sighted confirmed that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pre-packaged formats from a contracted pharmacy. All medications sighted were within current use by dates. Clinical pharmacist input is provided as requested and would come daily if needed Monday to Friday. The records of temperatures for the medicine fridge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Prescribers recorded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is self-administering creams and a nasal spray and has a current competency.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and reactions to medications are reported through the incident reporting system. Records sighted verified that comprehensive analysis of such events is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a nutritional assessment is undertaken for each resident and a dietary profile that details personal food preferences, any special diets and modified texture requirements is developed. These had all been updated earlier in the month and copies were viewed in a folder in the kitchen. On the day of audit, a relief cook informed that the records assist kitchen staff to ensure residents get what they need or prefer, although the staff serving the food are so familiar with the residents that they know all of this information without needing to check.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rotates over a six-week cycle, follows summer and winter patterns and has been reviewed by a qualified dietitian within the last two years (March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with an expiry date of 31 July 2020. Records in a food control plan diary showed fridge and freezer temperatures, cleaning schedules and food temperatures, including for high risk items, are monitored appropriately. Staff training records confirmed safe food handling training was provided to all staff earlier this year.</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enjoy their main mid-day meal and were complimentary about the meals provided at The Lodge.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their care plans. There was evidence that managers and staff focus on meeting a diverse range of resident’s individualised needs in all areas of service provision. The GP verified during interview that medical input is sought in a timely manner, that medical orders are followed, and care appears to be provided at a very high level. Care staff confirmed that they follow the direction of the registered nurses and information in care plans. A range of equipment and resources was available, suited to the different levels of care being provided and in accordance with the residents’ needs. Residents and family were full of praise for the care and support provided in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an assistant (the owner/manager of the facility), three health care assistants who help with activities and some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person’s file that was reviewed showed their needs, interests, abilities and social requirements had been identified. Personal goals were clear and related interventions were documented. Evaluations of each person’s activity programme is undertaken quarterly and where relevant was updated. The organisation is implementing an electronic based system for activity related records, which is demonstrating significant improvement and points of difference, and includes evidence of increased participation levels for residents but the project has not yet reached demonstration of continuous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activities calendar that includes Saturdays and Sundays, albeit less options at weekends, is developed and those viewed demonstrated a diverse range of options are offered. The activities listed reflected residents’ goals, ordinary patterns of life and included normal community activities and events. Resident are involved in evaluating and improving the programme through group conversations; however, there is a focus on meeting individual preferences in this service. During interviews, residents confirmed they enjoy the number and type of activities they can undertake and all the places they go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daily care monitoring records and in progress notes. If any change is noted, it is reported to the registered nurse and examples of this were observed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and as residents’ needs change. These are entered into evaluation record sheets. Where progress was different from expected, or an issue in a short-term care plan was persisting, the service responded by initiating changes to the plan of care. Examples of short-term care plans being consistently reviewed, and progress evaluated as clinically indicated were noted following hospital visits, or when a resident had an infection or a wound. Medical reviews are occurring within timeframes determined by the relevant physician and allied health progress records for podiatry and physiotherapy for example were on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a family member interviewed provided examples of involvement in evaluation of progress.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is displayed that expires on the 29 June 2020. There have been no structural alterations since the last audit. Refurbishing and upgrading of the existing building continues.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large and smaller bedrooms, all are of an adequate size to safely accommodate mobility aids, residents and staff. Six bedrooms downstairs have been approved as dual-purpose rooms and all have oversized doors installed. The finding from the last certification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on infection surveillance describe the processes. The documents last updated in January 2019 include the form for recording infections and the one for the monthly analysis of recorded infections. Surveillance processes are appropriate to those recommended for long term care facilities and included infections of the urinary tract, soft tissue, fungal, eye, gastro-intestinal, the upper and lower respiratory tract and skin infections. Any suspected infection is reported to one of the registered nurses who completes an infection report form for all suspected and confirmed infections. Management plans for infections with any GP treatment orders are discussed at shift handovers, to ensure appropriate and early interventions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coordinator/registered nurse reviews all reported infections, completes monthly infection analysis forms and develops graphs. Related data is analysed to help identify any trends, possible causative factors and required actions. Examples of these reports were sighted with reminders about handwashing evident. Results of the surveillance programme are shared with staff via regular staff meetings and at management quality meetings. An overview of the previous twelve months is developed in January of each year and the 2019 report was viewed. No trends were identified for the 2018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infection outbreaks that have required analysis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The restraint coordinator is one of the nurse managers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any restraints or enablers. The Lodge has been restraint free for many years. Equipment in use included sensor mats, so that restraint is not required. Regular training occurs for staff on de-escalation techniques and working with people with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Hardwill Group Limited - The Lodge</w:t>
    </w:r>
    <w:bookmarkEnd w:id="58"/>
    <w:r>
      <w:rPr>
        <w:rFonts w:cs="Arial"/>
        <w:sz w:val="16"/>
        <w:szCs w:val="20"/>
      </w:rPr>
      <w:tab/>
      <w:t xml:space="preserve">Date of Audit: </w:t>
    </w:r>
    <w:bookmarkStart w:id="59" w:name="AuditStartDate1"/>
    <w:r>
      <w:rPr>
        <w:rFonts w:cs="Arial"/>
        <w:sz w:val="16"/>
        <w:szCs w:val="20"/>
      </w:rPr>
      <w:t>25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