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Bert Sutcliffe Retirement Village Limited - Bert Sutcliffe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Bert Sutcliffe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Bert Sutcliffe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2019</w:t>
      </w:r>
      <w:bookmarkEnd w:id="7"/>
      <w:r w:rsidRPr="009418D4">
        <w:rPr>
          <w:rFonts w:cs="Arial"/>
        </w:rPr>
        <w:tab/>
        <w:t xml:space="preserve">End date: </w:t>
      </w:r>
      <w:bookmarkStart w:id="8" w:name="AuditEndDate"/>
      <w:r w:rsidR="00A4268A">
        <w:rPr>
          <w:rFonts w:cs="Arial"/>
        </w:rPr>
        <w:t>17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Bert Sutcliffe is part of the Ryman Group of retirement villages and aged care facilities.  They provide rest home, dementia and hospital level care for up to 150 residents.  There were 122 residents at the time of the audit.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village manager is appropriately qualified and experienced and is supported by an assistant to the manager and a clinical manager/registered nurse.  The quality systems and processes are well embedded.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Families and friends are able to visit residents at times that meet their needs.  There are resident and family meetings held and newsletters to keep residents and families informed.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the day-to-day operations.  Goals are documented for the service with evidence of regular reviews.  A comprehensive quality and risk management programme is in place with ongoing quality improvement initiatives.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  There are external opportunities available such as study days at the DHB.   </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 development and evaluations within the required timeframe.  Care plans demonstrated service integration.  Monitoring forms were being utilised.  Care plans were updated for changes in health status.  Resident and family interviewed confirmed they were involved in the care plan process and review.  </w:t>
      </w:r>
    </w:p>
    <w:p w:rsidRPr="00A4268A" w:rsidP="00621629">
      <w:pPr>
        <w:spacing w:before="240" w:line="276" w:lineRule="auto"/>
        <w:rPr>
          <w:rFonts w:eastAsia="Calibri"/>
        </w:rPr>
      </w:pPr>
      <w:r w:rsidRPr="00A4268A">
        <w:rPr>
          <w:rFonts w:eastAsia="Calibri"/>
        </w:rPr>
        <w:t xml:space="preserve">The activity team provides an activities programme in each unit that meets the abilities and recreational needs of the residents.  The programme reviewed was varied and involved the families and community.  There were 24-hour activity plans for residents in the dementia care unit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Medication is appropriately stored, managed, administered and documented.  </w:t>
      </w:r>
    </w:p>
    <w:p w:rsidRPr="00A4268A" w:rsidP="00621629">
      <w:pPr>
        <w:spacing w:before="240" w:line="276" w:lineRule="auto"/>
        <w:rPr>
          <w:rFonts w:eastAsia="Calibri"/>
        </w:rPr>
      </w:pPr>
      <w:r w:rsidRPr="00A4268A">
        <w:rPr>
          <w:rFonts w:eastAsia="Calibri"/>
        </w:rPr>
        <w:t xml:space="preserve">All meals are prepared on site.  A dietitian designs the menu at an organisational level.  Individual and special dietary needs are catered for.  Nutritional snacks are available 24-hours for residents in the dementia care unit.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code of compliance.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is restraint free for the last three years.  The service has appropriate procedures and documents for the safe assessment, planning, monitoring and review of restraint and enablers should these be required.  The service had no residents assessed as requiring the use of restraint and no residents required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(clinical manager) is responsible for coordinating/collating infection events across the service.  The infection control officer uses the information obtained through surveillance to determine infection control activities, resources and education needs within the facility.  Infection control data is communicated to all staff.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investigates complaints in consultation with the clinical manager.  Escalation of complaints to the regional manager is dependent on the severity of the complaint.  A complaint register (in hard copy and on the electronic system) is maintained for all written and verbal complaints with dates acknowledged, actions taken, investigation and letters of outcomes or face-to-face meetings with the complainants.  Complaints are being managed in a timely manner and within timeframes determined by the Health and Disability Commissioner (HDC).  Six complaints had been lodged in 2018.  There have been ten verbal concerns and six written complaints to date for 2019.     There is evidence of complaints received being discussed in management meetings and staff meetings.  All complaints received were investigated to the satisfaction of the complainant.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HDC complaint in March 2018 was investigated by the HDC and closed off with no further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and management operate an open-door policy.  Staff are guided by the incident reporting policy which outlines responsibilities around open disclosure and communication.  Staff are required to record family notification when entering an incident into the database.  Fifteen incidents reviewed across the levels of care (for August 2019) met this requirement.  Three family members interviewed (of one rest home, one hospital and one dementia care resident) confirmed they are promptly notified following a change of health status of their family member.  Care centre rest home and hospital resident meetings are held two monthly.  Relative meetings are held in each unit six monthly.  Results of surveys are communicated to the participants through the meetings.  The HDC advocate attends resident and relative meetings on an annual basis.  Residents and relatives are kept informed on village and care centre events/facility matters through the monthly village connection newsletter.  There is a weekly newsletter published by the unit activity coordinator that is displayed in the rest home and hospital.  A relative has commenced (January 2019) dementia support group meetings that are held regularly in the café.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Bert Sutcliffe is a Ryman healthcare retirement village.  They are certified to provide rest home, hospital (geriatric and medical) and dementia levels of care for up to 150 residents.  This includes 30 serviced apartments that are certified to provide rest home level care.  On level 5 (ground level) is the main entrance, reception and serviced apartments.  On level 4 there are 41 dual-purpose beds with 39 rest home residents on the day of audit.  On level 3 there is a 41-bed hospital unit with 40 hospital level residents (including one under ACC) on the day of audit.  On level 2 there are two 19 bed dementia care units with 17 residents in each unit on the day of audit.   There were nine rest home residents in serviced apartments (which are across levels 1,5,6,7,8, and 9).  On the day of audit there were 122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Bert Sutcliffe.  The village objectives are reviewed quarterly and progress reported to head office.  There are weekly management meetings.  The village manager reports to the regional manager who was present on day one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since the village opened in October 2016.  She has a business management degree and is experienced in aged care management.  She has attended over eight hours annually of professional development activities relating to managing a retirement village including attending the Ryman leadership training May 2019 and attends the Waitemata DHB primary health connections forum.  The village manager is supported by a regional manager, an assistant to the manager and a newly appointed clinical manager/RN who was orientating on the day of audit, under the supervision of the operation’s clinical manager.  The clinical manager has 15 years within a DHB in the rehabilitation sector and as a clinical nurse specialist for gerontology.  A section 31 was sent to HealthCERT for change of manager.  The previous clinical manager has transferred to open a new Ryman facility and was unavailable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Bert Sutcliffe has a well-established quality and risk management system that is directed by Ryman Christchurch (head office).  Quality and risk performance are reported at the weekly management meetings and also to the organisation's management team.  Quality data, quality initiatives and corrective action plans are discussed at the monthly full facility meetings, clinical meetings and other facility meetings held across the site.  Meeting minutes are made available to staff.  Discussions with the managers and staff and review of management and staff meeting minutes, demonstrated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Care centre resident survey results for 2019 had improved from 2018 survey results.  There had been an increase in resident satisfaction around care, food (with introduction of project delicious) and activities (with review of engage programme and introduction of walking groups).  The overall score was 4.44 compared to 4.17 for 2018.  The relative survey for 2019 is in progress.  Survey results are communicated to residents, relatives and staff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is an internal auditing programme set out by head office.  The assistant to the manger completes non-clinical audits and the clinical manager completes clinical audits. The service develops a corrective action plan for any audit result below 90%.  A quality improvement register is maintained.  Corrective actions are signed off when completed and audit results are communicated at the management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including resident and staff accident/incidents, hazards, infections, complaints and audit outcomes, which is utilised for service improvements.  Quality improvement plans have been developed for areas identified for improvement including call bell response times, increase in challenging behaviours in dementia care and falls with injury.  Action plans have been implemented and demonstrated ongoing improvements in these areas.                                                                                                                                                                                                                      Results are communicated to staff across a variety of meetings and reflected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who are representative of health and safety officer/village manager, two health and safety representatives, back care champion/dementia unit coordinator, lineal manager and maintenance manager.  A health and safety representative (interviewed) has completed stage 1 of health and safety and registered for the stage 2 health and safety course.  The service has a health and safety objective around staff wellbeing and reducing muscular injuries.  There are regular manual handling sessions taken by the physiotherapist, a site back care champion, return to work consultation with an occupational therapist and a focus on identifying and reporting hazards.  Ryman have initiated “step back” cards that are completed following every incident to analysis and identify the root cause.  The noticeboard keeps staff informed on health and safety meetings.  Head office sends out health and safety bulletins regularly and alerts for staff information and awareness.         </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place for residents identified at risk of falls.  The service contract a physiotherapist 20 hours a week who is supported by an employed physiotherapy assistant to carry out exercises and walks as directed by the physiotherapist.  Care staff interviewed could describe falls prevention strategies as documented in myRyman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relative notification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incident/accident reports including witnessed and unwitnessed falls and skin tears for August 2019 were reviewed and identified that all were fully completed and included follow-up by a registered nurse.  Neurological observations are completed for unwitnessed falls and where there is an obvious knock to the head.  The unit coordinators and managers review adverse events as part of the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There have been four Section 31 notifications for 2018 (medication error, resident wandering, resident absconding and two stage three pressure injuries).  There have been four Section 31 notifications for 2019 to date including two unstageable pressure injuries (March and September), change of manager (October 2018) and new manager (16 September 2019).  The Public Health was notified of two outbreaks (February 2019 and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(HR) policies including recruitment, selection, orientation and staff training and development.  Nine staff files reviewed (one assistant to the manager, one hospital unit coordinator, two registered nurses, three caregivers, one diversional therapist and one head chef) contained all the required employment documents including job descriptions and completed orientations specific to their role.  An eight-week post-employment assessment was completed and annually thereafter.  The assistant to the manager maintains staff files, records of annual practicing certificates for RNs, enrolled nurses and other health practitioners and records of staff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orientation programme for all new staff is completed on site at an induction day.  There was a group of new staff (including the newly appointed clinical manager) attending an induction day on the day of audit.  The day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interviewed could describe the orientation process and felt staff were adequately orientated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that covers the mandatory training requirements and many topical debriefs/toolbox sessions at handovers.  Repeated sessions for education/in-service and access to education notes/contents on the electronic system evidences good staff attendance.  External speakers have included hospice, DHB medical specialists, Dementia Auckland and gerontology nurse specialist.  Comprehension questionnaires and competencies (relevant to the roles) are completed annually.  The bi-monthly RN meetings include the Journal club.  There are 19 RNs and one enrolled nurse (serviced apartment coordinator).  Six RNs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There are 18 caregivers employed in the dementia care units and eight have completed their dementia unit standards with 10 (employed less than one year) are progressing through the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Careerforce assessor based at head office and the RNs have completed observer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and clinical manager/RN work Monday – Friday.  The unit coordinators for rest home and dementia care work Tuesday to Saturday and the hospital unit coordinator and service apartment coordinator from Sunday to Thursday.  The RN in the hospital provides support to the rest home and serviced apartments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unit of 41 dual purpose beds (with 39 rest home residents on the day of audit) has on morning shifts; a unit coordinator or RN seven days, three caregivers on the full shift and one caregiver 0730 to 1300.  On afternoons there are two caregivers on full shift and one caregiver until 2030.  There are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with nine rest home residents on the day of audit: There is a senior caregiver who covers the serviced apartment coordinator days off.  There are two caregivers on the morning (one finishes at 1330) and two caregivers on the afternoon shift (one finishes at 2100).  The night shift is covered by caregivers/RN in the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of two 19-bed units (with 17 residents in each unit on the day): A RN covers the unit coordinator days off.  There is an additional RN seven days a week on morning and afternoon shift that oversees both units.  There are four caregivers on the morning shift in each unit (two finish at 1330).  There are four caregivers on the full afternoon shift and two caregivers finish at 2100.  They are supported by a lounge carer from 0800 to 1600 and the activities coordinator is on duty from 0930 to 1800 and they alternate their time between the two units.  In the afternoon there is a lounge carer from 1600 to 2000 who works between the two units as required.  There are three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unit of 41 beds (with 40 hospital level residents on the day of audit): In addition to the unit coordinator there are two RNs on morning and afternoon shifts and one RN on night shift.  There are four caregivers on the full morning shift and four caregivers on short shifts finishing at 1330.  They are supported by a fluid’s assistant from 0930 to 1300.  There are two caregivers on the full afternoon shift and four caregivers on the short afternoon shift finishing at 2100.  They are supported by a lounge carer from 1600 to 2000.  There are three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designated activities coordinator(s) and housekeeping staff.  The physiotherapy assistant is based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 of audit.  There are four medication rooms on site, one for each level of care and all have secured keypad access.  Medications fridges had weekly temperature checks recorded and were within normal ranges.  Registered nurses, enrolled nurses and senior caregivers, who have passed their medication competency, administer medications.  Medication competencies are updated annually and include syringe drivers, subcutaneous fluids, blood sugars and oxygen/nebulisers.  There is a signed agreement with the pharmacy.  Medications are checked on arrival and any pharmacy errors recorded and fed back to the supplying pharmacy.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Fourteen medication profiles were sampled (six hospital, four rest home and four dementia level of care).  All charts had photo identification and allergy status documented.  All medication sheets evidenced three monthly reviews by the GP.  Prescribed medication is signed electronically after being administered as witnessed on the day of the audit.  Effectiveness of ‘as required’ medication administered was documented in the electronic prescription.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well-equipped commercial kitchen on site where all food and baking is prepared and cooked.  The qualified head chef is supported by a second chef and four kitchenhands.  Staff have been trained in food safety and chemical safety.  The seasonal menu has been designed in consultation with the dietitian at an organisational level.  Project “delicious” has been in place since opening.  Menu choices are decided by residents (or family/EPOA/primary care staff if the resident is not able) and offer a choice of three main dishes for the midday and two choices for evening meal including a vegetarian option.  Diabetic desserts and gluten free diets are accommodated.  All meals are plated in the kitchen and delivered in hot boxes to each unit’s satellite kitchen.  The cook receives a dietary profile for all new resident admissions and is notified of any dietary changes.  Resident likes and dislikes are accommodated and listed on the daily spreadsheet.  Alternative foods are available on the menu or offered.  Cultural, religious and food allergies are accommodated.  Nutritious snacks are available 24 hours a day.  There is a supply of snacks in the dementia unit kitchenette.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twice daily.  The chilled goods temperature is checked on delivery.  All foods were date labelled.  A cleaning schedule is maintained for the cook and kitchenhands.  Staff were observed to be wearing appropriate personal protective clothing.  The food control plan expires on the 11 January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food communication books in each servery, resident survey and direct contact with the food services staff.  Residents and relatives interviewed spoke positively about the choices and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nursing review and if required, GP, nurse specialist consultation.  There is documented evidence on the family/whānau contact form in each resident file that evidences family were notified of any changes to their relative’s health including (but not limited to) accident/incidents, behaviours, infections, health professional visits, referrals and changes in medications.  Residents interviewed reported their needs were being met.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There were 33 wounds on the day of the audit; 16 in the hospital (six pressure injuries, two skin tears and five vascular wounds and three ulcers), eight wounds documented in the dementia unit (three pressure injuries, four skin tears and one ulcer/skin graft), five in the rest home (three pressure injuries and two skin tears) and four wounds in the serviced apartments (one pressure injury and three skin tears).  There was evidence of the wound care nurse specialist, GP, dietitian and facility wound champion involvement in the management of complex wounds and pressure injuries.  Wound assessment and treatment forms, ongoing evaluation form and evaluation notes were in place for all 33 wounds.  There is a quality improvement plan in place for the prevention and management of pressure injuries.  There have been three in-services on skin care, wound care and pressure injury prevention for 2019 to date.  There were adequate pressure prevention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There is a suite of monitoring forms available on the myRyman system which include weight, vital signs, behaviour monitoring and assessment, pain, neurological observations and blood glucose monitoring.  Progress notes documented changes in health status and significant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team of activities staff (one diversional therapist and three activity coordinators) coordinate and implement the Engage activities programme, across the hospital, rest home, dementia units and serviced apartments seven days a week.  Activities staff attend on site and organisational in-services relevant to their roles.  All four activities staff hold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AAA exercises, themes events and celebrations, indoor bowls, sensory activities, baking in the kitchenettes, outings and drives.  The service has a mobility van for resident outings.  Rest home residents in the serviced apartments can attend the serviced apartment programme or rest home programme.  One-on-one time is spent with residents who are unable to participate or choose not to be involved in the activity programme.  Village friends visit and participate in some activities.  Every Wednesday the residents enjoy a movie in the on-site movie theatre.  Community involvement includes entertainers, speakers and church services.  The activities staff have been successful in engaging residents in the Engage programme especially around the pampering sessions and men’s club as evidenced in the residents’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wings of the dementia care unit have access to an outdoor garden setting, a ‘sensory room’ (including lava lamps, music, CDs, aromatherapy, pampering, massage and hand massage) and a ‘quiet room’ with butterfly themed décor, dimmed lighting and suitably arranged furniture.  RNs interviewed stated these two rooms are often used to calm residents when agitated.  Families also enjoy spending one-on-one time with their loved one in both these rooms.  Residents in the dementia care unit are taken for daily walks (observed) around the indoor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 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the seven long-term residents were evaluated by the RN within three weeks of admission.  Written evaluations identified if the resident/relative desired goals had been met or unmet.  All changes in health status were documented and followed up.  The multidisciplinary review involves the RN, activities staff resident/family and unit coordinator.  The seven resident files reviewed reflected evidence of family being involved in the planning of care and reviews and if unable to attend, they receive a copy of the reviewed plans.  In all the files reviewed the care plans had been read and signed by the resident/EPOA/family.  There is at least a three-monthly review by the medical practitioner with the majority of the hospital level residents being seen monthly.  The family members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is posted in a visible location (expires 11 October 2020).  A 52-week preventative and reactive maintenance programme is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identifying any trends/analysis and corrective actions.  Currently the newly appointed clinical manager will be the infection control officer and is being mentored by the Ryman infection control nurse specialist (new role since June 2019).  Monthly reports are discussed at the management and full facility meetings.  A six-monthly analysis of infections is completed and monitors infection rates against key performance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gastroenteritis outbreaks in February 2019 (suspected and not confirmed norovirus) and one in July 2018.  The public health was notified for both outbreaks and daily case logs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no residents using enablers and no residents with restraints.  The service has been restraint free (with the exception of an emergency restraint) for the past three years.  The restraint officer (currently the hospital unit coordinator) provides staff training around restraint minimisation and de-escalation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Bert Sutcliffe Retirement Village Limited - Bert Sutcliffe Retirement Village</w:t>
    </w:r>
    <w:bookmarkEnd w:id="58"/>
    <w:r>
      <w:rPr>
        <w:rFonts w:cs="Arial"/>
        <w:sz w:val="16"/>
        <w:szCs w:val="20"/>
      </w:rPr>
      <w:tab/>
      <w:t xml:space="preserve">Date of Audit: </w:t>
    </w:r>
    <w:bookmarkStart w:id="59" w:name="AuditStartDate1"/>
    <w:r>
      <w:rPr>
        <w:rFonts w:cs="Arial"/>
        <w:sz w:val="16"/>
        <w:szCs w:val="20"/>
      </w:rPr>
      <w:t>16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