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Clutha Views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Clutha Views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August 2019</w:t>
      </w:r>
      <w:bookmarkEnd w:id="7"/>
      <w:r w:rsidRPr="009418D4">
        <w:rPr>
          <w:rFonts w:cs="Arial"/>
        </w:rPr>
        <w:tab/>
        <w:t xml:space="preserve">End date: </w:t>
      </w:r>
      <w:bookmarkStart w:id="8" w:name="AuditEndDate"/>
      <w:r w:rsidR="00A4268A">
        <w:rPr>
          <w:rFonts w:cs="Arial"/>
        </w:rPr>
        <w:t>30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Partial provisional for 14 rest home beds to become dual purpose.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Clutha Views Lifecare provides rest home, dementia and hospital level care for up to 72 residents. The service is operated by Heritage Lifecare Limited and managed by a care home and village manager and a clinical services manager. The service is requesting to change 14 rest home beds to dual purpose (rest home or hospital beds). Residents and families spoke positively about the care provided.</w:t>
      </w:r>
    </w:p>
    <w:p w:rsidRPr="00A4268A">
      <w:pPr>
        <w:spacing w:before="240" w:line="276" w:lineRule="auto"/>
        <w:rPr>
          <w:rFonts w:eastAsia="Calibri"/>
        </w:rPr>
      </w:pPr>
      <w:r w:rsidRPr="00A4268A">
        <w:rPr>
          <w:rFonts w:eastAsia="Calibri"/>
        </w:rPr>
        <w:t xml:space="preserve">This certification and partial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This audit has resulted in continuous improvements in restraint minimisation and infection control. There were no areas requiring improvement relate to either the certification of partial provisional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an information pack on entry to the service. Clutha Views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and maintaining dignity and privacy. Staff receive training on the Code as part of the induction process and training is ongoing as verified in the training records.</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interpreter service if required. Residents and family members are provided with the information to make informed choices and to give informed consent.</w:t>
      </w:r>
    </w:p>
    <w:p w:rsidRPr="00A4268A">
      <w:pPr>
        <w:spacing w:before="240" w:line="276" w:lineRule="auto"/>
        <w:rPr>
          <w:rFonts w:eastAsia="Calibri"/>
        </w:rPr>
      </w:pPr>
      <w:r w:rsidRPr="00A4268A">
        <w:rPr>
          <w:rFonts w:eastAsia="Calibri"/>
        </w:rPr>
        <w:t>Residents who identify as Māori have their needs effectively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Clutha Views Lifecare has linkages with a range of specialist health care providers to support best practice and meet the needs of residents.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included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was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Information is provided to the potential resident/family prior to admission and on admission with a full service pack provided. The multidisciplinary team is available to assess the resident’s needs on admission. The registered nurse and the general practitioner complete relevant assessments in a timely manner to meet the requirements of the services contract with the District Health Board. Care plans are individualised based on a comprehensive range of information and accommodate any new problems that might arise. Records reviewed demonstrated that the care provided and needs of residents were reviewed and evaluated on a regular and timely basis. Residents were referred or transferred to other health services as required.</w:t>
      </w:r>
    </w:p>
    <w:p w:rsidRPr="00A4268A" w:rsidP="00621629">
      <w:pPr>
        <w:spacing w:before="240" w:line="276" w:lineRule="auto"/>
        <w:rPr>
          <w:rFonts w:eastAsia="Calibri"/>
        </w:rPr>
      </w:pPr>
      <w:r w:rsidRPr="00A4268A">
        <w:rPr>
          <w:rFonts w:eastAsia="Calibri"/>
        </w:rPr>
        <w:t xml:space="preserve">There were planned activities to cover all services. Residents are provided with a variety of individual and group activities and maintain their links with the community. Twenty-four-hour activities are provided in the dementia unit and activities are personalised to meet the individual needs of residents.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was safely managed. Residents and families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and six restraints for five residents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and trained infection control coordinator and aims to prevent and manage infections at Clutha Views Lifecare. The programme is reviewed annually. Advice can be sought from specialist infection prevention advisors if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procedures and supported with regular education for staff and residents.</w:t>
      </w:r>
    </w:p>
    <w:p w:rsidRPr="00A4268A">
      <w:pPr>
        <w:spacing w:before="240" w:line="276" w:lineRule="auto"/>
        <w:rPr>
          <w:rFonts w:eastAsia="Calibri"/>
        </w:rPr>
      </w:pPr>
      <w:r w:rsidRPr="00A4268A">
        <w:rPr>
          <w:rFonts w:eastAsia="Calibri"/>
        </w:rPr>
        <w:t>Aged care specific infection surveillance is undertaken and results are reported through all levels of the organisation. Follow-up action is taken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88"/>
        <w:gridCol w:w="1280"/>
        <w:gridCol w:w="90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developed policies, procedures and processes to meet its obligation in relation to the Code of Health and Disability Services Consumers’ Rights (The Code). Staff interviewed understood the requirements of the Code and were observed demonstrating respectful communication, encouraging independence, providing options and maintaining dignity, respect and privacy. Training on the Code is included as part of the induction process for all newly employed staff and in ongoing training as verified in the staff training records. At the time of the audit staff in the dementia unit were observed to offer choices and options to the residents and allowed time for the resident to respond. Family members of residents in the dementia unit interviewed verified that choices were provided to residents and opportunities to attend activities in the rest home/hospital and to go on outings were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of informed consent. Residents’ records reviewed show that informed consent has been gained appropriately using the organisation’s standard consent form. Informed consent policies provided relevant guidance to staff. A separate van outing consent form was sighted and consent for the influenza vaccination was also in the records reviewed. Establishing and documenting enduring power of attorney (EPOA) requirements and processes for residents unable to consent is defined and documented as relevant and these were evidenced in all residents’ records reviewed; this included EPOA documents for the residents residing in the dementia unit. Staff were observed interacting and gaining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during the admission process on the Advocacy Service. A copy of the Code is provided in the admission to service pack. Posters and brochures related to the Nationwide Advocacy Service were displayed and available in the facility. Family members interviewed and residents spoken with were aware of the Advocacy Service and how to access this and their right to have support persons of their choice. Advocacy training is provided to clinical staff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encourage visitors to the facility. Family members interviewed stated they felt very welcomed by the staff and they felt comfortable in their dealings with staff. Residents are assisted to maximise their potential for self-help and to maintain links with their family in the community by attending outings, home visits with family, activities, shopping trips and entertainment provided at other facilities organised by the activities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ten complaints have been received over the past year and that actions taken, through to an agreed resolution, are documented and completed within the timeframes.  Action plans showed any required follow up and improvements have been made where possible. Two of the most recent complaints are in process. The care home and village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interviewed report being made aware of the Code and the Nationwide Health and Disability Advocacy Service (Advocacy Service) as part of the admission information provided for residents entering any of the three services provided, being rest home, hospital and memory loss/dementia and discussions were held with the registered nurses during the admission process. The Code is displayed all areas of service delivery along with information on advocacy services and how to make a complaint and feedback forms are visible and accessible.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and respect throughout the audit with residents. All residents are encouraged to maintain their independence by participating in community activities. Residents and families confirmed that they/their relative receive services in a manner that has regard for their dignity, privacy, sexuality, spirituality and choices. Residents can choose their own GP but most have the contracted medical officer for their medical oversight.  Care plans included documentation related to the resident’s abilities, and strategies to maximise their independence. The residents in the dementia unit have access to a secure garden from the main dining/lounge area. The residents in the hospital and rest home have access to several lounges and outside areas where they can meet with their family/whānau especially in the warmer months of the year.</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reviewed confirmed that each resident’s individual cultural, religious and social requirements, values and beliefs have been identified as part of the admission process. InterRAI information sighted also captures this information. This information is incorporated into their respective care plans.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had a good understanding of what constitutes abuse and neglect. The policy reviewed has clear definitions for staff. Staff understood what to do if they suspected abuse/neglect and how to report this. Education is provided and confirmed in the training records reviewed. Advice is available if required from Aged Concern New Zealand and other agencies and contact details were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all service areas who identify as Māori to integrate their cultural values and beliefs. The principals of the Treaty of Waitangi are incorporated into the day to day practice, as is the importance of whānau. Policy reviewed guides and gives information about Māori beliefs in relation to illness, the te whare tapa wha model of health and an outline of cultural belief experiences in relation to health in the context of Aotearoa New Zealand. Heritage Lifecare has a Māori health plan and Clutha Views Lifecare has their own template and plan. There were no barriers identified for Māori people to access this service. Currently there is one resident who identifies as Māori and no staff identify as Māori. The one Māori resident has a specific Māori health plan in the records reviewed along with the care plan. Guidelines on tikanga best practice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verified that they were consulted on their individual culture, values and beliefs and that staff respected these. The residents’ personal preferences and requests, required interventions and special needs, if any, were included in their care plans reviewed. The annual residents’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at this facility. The orientation/induction process for staff includes education related to professional boundaries, expected behaviours and the Code of Conduct. All registered nurses must complete Code of Conduct training as a requirement for their annual practising certificates. Staff are guided by policies and procedures and demonstrated a clear understanding of the process they would follow should they suspect any form of exploitation if occurring. The individual Heritage Lifecare Limited (HLL) employment contract has a section on expectations and the Code of Conduct that all staff must meet. This was sighted and verified in the personal staff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Clutha Views Lifecare encourages and promotes good practice through evidence-based policies, input from external specialist services and allied health professionals, for example hospice/palliative care team, diabetes nurse specialist, wound care specialist, mental health services for older persons, and education provided to staff. The general practitioner (GP) interviewed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how the staff have transitioned from another organisation to Heritage Lifecare Limited (HLL) policies, procedures, residents’ records and care plans. The acknowledgement of family visiting was verified and when interviewed family felt welcomed and able to participate with their relative’s care. Meals were offered as well if the family member was visiting at lunchtime or had travelled some distance to visit their relative and this was appreciated.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 of the Code. Residents and family members stated they were kept well informed about any changes to their/their relative’s health status and were advised in a timely manner about any incidents or accidents and outcomes of regular and any urgent medical reviews. This was supported in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residents at the time of audit able to speak English. Staff can provide interpretation as and when needed and include the use of family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site specific to Clutha Views Lifecare, is reviewed annually and outlines the purpose, values, scope, direction and goals of the organisation, including goals specific to a person-centred approach to all services. The documents described annual and long-term objectives and associated operational plans. A sample of monthly reports to the support office showed adequate information to monitor performance is reported including financial performance, enquiries, occupancy, human resources, health and safety, compliance, risks and issues and property and ‘CAPEX’.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Clutha Views Lifecare is managed by a care home and village manager who holds relevant qualifications and has been in the role for sixteen years. Responsibilities and accountabilities are defined in a job description and individual employment agreement.  The manager confirmed knowledge of the sector, regulatory and reporting requirements and maintains currency through attendance at conferences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Southern District Health Board (SDHB) for respite, complex medical conditions, hospital and rest home level care, palliative care, long term chronic conditions and rest home dementia care. A ministry of health (MOH) contract for young person with a disability (YPD) is also held. Sixty-three residents were receiving services under the contract (13 dementia care, 26 hospital level and 24 rest home level care) at the time of audit. There were no residents under the respite or YPD contracts.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Clutha Views care home and village manager during interview confirmed the planned transfer of rest home beds to hospital only as current occupancy dictates. This is likely to be a staggered transition over a period of time with approval for additional resources (such as beds, staffing, and transfer equipment) from the organisation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care home and village manager is absent, the clinical services manager (CSM) or a Heritage Lifecare Ltd (HLL) care home and village temporary manager carries out all the required duties under delegated authority. During absences of key clinical staff, the clinical management is overseen by a senior RN from the facility or HLL who is experienced in the sector and able to take responsibility for any clinical issues that may arise. Staff reported the current arrangements work well. All managers and staff incorporate a person-centred approach to all services.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and CSM both have experience to manage the increase in complexities as the hospital level care numbers increase with support from the HLL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Clutha Views Lifecare has a planned quality and risk system that reflects the principles of continuous quality improvement. This includes management of incidents and complaints, audit activities, an annual resident satisfaction survey, monitoring of outcomes, clinical incidents including infections and restraint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quality, health and safety and staff meetings. Staff reported their involvement in quality and risk management activities through audit activities, attendance at meetings and individual feedback. Relevant corrective actions are developed and implemented to address any shortfalls. Resident and family satisfaction surveys are completed annually. The most recent survey showed that staff may have been slow answering bells, this initiated training for all staff in the importance of answering bells and resident meeting minutes confirmed the issue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support office via the organisations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described essential notification reporting requirements, including for pressure injuries. They advised there have been six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the required dementia training with four staff enrolled in the required education. Of the remaining 32 staff, 20 have completed level 2 or level 3 health and wellbeing training, four are in level 2 training and four in level 3 training. Four staff have declined training.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and HLL operations manager during interview confirmed that staff numbers will increase based on acuity levels, as dual purpose bed residents needs increase from rest home to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Standards New Zealand ‘Indicators for safe aged-care and dementia care for consumers’ into its electronic roster system to ensure that staffing reflects the acuity and staffing requirements for all levels of resident care. The service alters staff already according to the needs of the residents in other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 records reviewed. Clinical records were current and integrated with GP and allied health service provider records. This includes interRAI assessment information entered into the Momentum electronic database. Records were legible with the name and designation of the person making the entry identifiable. Labels are generated and used on the records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administrator interviewed prepares all records for admission and discharge and the system utilised was explained. The service is still in transition, changing all records over to HLL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in use are stored appropriately in the nurses’ stations and are out of public view. Additional resident records are stored in a locked room on site and are accessible. </w:t>
            </w:r>
          </w:p>
          <w:p w:rsidR="00EB7645" w:rsidRPr="00BE00C7" w:rsidP="00BE00C7">
            <w:pPr>
              <w:pStyle w:val="OutcomeDescription"/>
              <w:spacing w:before="120" w:after="120"/>
              <w:rPr>
                <w:rFonts w:cs="Arial"/>
                <w:b w:val="0"/>
                <w:lang w:eastAsia="en-NZ"/>
              </w:rPr>
            </w:pPr>
            <w:r w:rsidRPr="00BE00C7">
              <w:rPr>
                <w:rFonts w:cs="Arial"/>
                <w:b w:val="0"/>
                <w:lang w:eastAsia="en-NZ"/>
              </w:rPr>
              <w:t>Discharged residents’ records are stored in envelopes which are clearly labelled and placed in document storage boxes. An electronic records system is in place and records can be retrieved if required. The administrator is fully informed and is aware when archived documents are due to be disposed of as per the records reviewed. A destruction box for obsolete documents is on site and is collected in a timely manner or when full.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Service (NASC) for this region. The screening/entry to service process is to determine any potential risks involved in the provision of services. The residents admitted to the dementia unit have been assessed by a specialist. Prospective residents and/or their family members are encouraged to visit the facility prior to admission and are provided with written information about the service and the admission process. When residents are admitted for respite care information is sought prior to admission from their GP or the NASC service for an update on their condition and/or needs.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was provided to them. Records reviewed contained all relevant information about the resident including demographics, assessments, clinical records, diagnostic results and allied health input in accordance with contractual requirements with the Southern District Health Board (SDHB). The admission agreements were signed and safely stored in the Care Home and Village Manager (CHVM) office. Enduring Power of Attorney documentation was verified in the resident’s records in the dementia unit. These had been activated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effectively in a planned and co-ordinated manner. The GP facilitates the transfer with the assistance of the registered nurses if required. A transfer form is completed and the DHB protocol is followed. Open communication between the services is ensured. Appropriate information is provided for the ongoing management of the resident. A copy of the medication record, care plan and resuscitation status if known is provided and the interRAI information is made accessible. Family of the resident are kept well informed and this is recorded in the resident’s progress notes and family communication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policies, procedures and guidelines are available to guide staff. A safe system for medicine management (using an electronic system) was observed on the day of the audit. The staff member observed demonstrated a clear understanding of the role and responsibilities related to medicine management. All staff who administer medicines have completed the required medication competency annually. The staff employed in the dementia unit only give out medications in this unit and are overseen by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contracted pharmacy. The medicines are pre-packaged and checked when delivered to the facility from the pharmacy by a registered nurse. Appropriate checks and balances are completed and weekly and six monthly stock checks are performed and were verified.</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reviews all medication records three monthly. Standing orders are not used at this facility. The requirements for pro re nata (PRN) medications are met. All known allergies/sensitivities to medicines are recorded on the electronic medication record and in the medical records for each resident.</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five residents self-administering medicine at the time of the audit. Appropriate forms and consents are documented to ensure this is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analysis of any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interview: </w:t>
            </w:r>
          </w:p>
          <w:p w:rsidR="00EB7645" w:rsidRPr="00BE00C7" w:rsidP="00BE00C7">
            <w:pPr>
              <w:pStyle w:val="OutcomeDescription"/>
              <w:spacing w:before="120" w:after="120"/>
              <w:rPr>
                <w:rFonts w:cs="Arial"/>
                <w:b w:val="0"/>
                <w:lang w:eastAsia="en-NZ"/>
              </w:rPr>
            </w:pPr>
            <w:r w:rsidRPr="00BE00C7">
              <w:rPr>
                <w:rFonts w:cs="Arial"/>
                <w:b w:val="0"/>
                <w:lang w:eastAsia="en-NZ"/>
              </w:rPr>
              <w:t>There will be no impact directly with the medicine management as registered nurses will still be responsible for the medicine management for hospital level residents, as for the current hospital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the head cook and a team of kitchen assistants and is in line with recognised nutritional guidelines for older people. The four weekly menu plans follows summer and winter pattern and have been reviewed by a qualified dietitian within the last two years (August 2019). Clutha Views Lifecare has a food control plan displayed which expires July 2020.</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legislative requirements and guidelines. Food temperatures, including for high risk items, are monitored appropriately and recorded as part of the plan. The head cook has undertaken a safe food handling qualification and kitchen assistants have completed relevant food handling training and other courses including product education and training. Fridge and freezer temperatures were accurately recorded. A large pantry was available which is not overstocked. All containers are clearly labelled and dated. Cleaning schedules were sighted.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is developed. The personal food preferences, special diets and modified texture requirements and portion sizes are made known to the kitchen staff and accommodated in the daily meal plan. Residents in the dementia unit have access to food and fluids to meet their nutritional needs at all times. Special equipment to meet resident’s nutritional needs is available and accessible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 and family interviews and resident meeting minutes reviewed. Residents were seen to be given sufficient time to eat their meal in an unhurried fashion and those requiring assistance have this provided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interview: </w:t>
            </w:r>
          </w:p>
          <w:p w:rsidR="00EB7645" w:rsidRPr="00BE00C7" w:rsidP="00BE00C7">
            <w:pPr>
              <w:pStyle w:val="OutcomeDescription"/>
              <w:spacing w:before="120" w:after="120"/>
              <w:rPr>
                <w:rFonts w:cs="Arial"/>
                <w:b w:val="0"/>
                <w:lang w:eastAsia="en-NZ"/>
              </w:rPr>
            </w:pPr>
            <w:r w:rsidRPr="00BE00C7">
              <w:rPr>
                <w:rFonts w:cs="Arial"/>
                <w:b w:val="0"/>
                <w:lang w:eastAsia="en-NZ"/>
              </w:rPr>
              <w:t>There will be no impact on the current service food service provision as the capacity is not changing.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resident does not meet the entry criteria the local NASC service is advised to ensure the resident and family are supported to find an appropriate care alternative. This occurs for prospective residents/family and for residents in the facility whose needs change. If the needs of a resident change and they are no longer suitable for the services offered a referral for re-assessment to the NASC is made and a new placement service is arranged in consultation with the resident and family/whānau.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reviewed verified that recognised assessment tools are implemented, such as falls risk, skin integrity, nutritional screening and pain scale, as a means to identify any deficits and to inform care planning. The care plans reviewed had an integrated range of resident-related information. All residents have a current interRAI assessment and this was verified electronically, and a copy obtained during this audit. The interRAI assessments are completed by one of three registered nurses interRAI competent including the CSM.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reflected the care and support needs of residents and the outcomes of the integrated assessment process and other relevant clinical information. The needs identified by the interRAI assessments were reflected in the care plans reviewed. For residents admitted to the dementia unit behaviour management plans are developed based on triggers and interventions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The care plans evidence service integration with medical and clinical progress records, activities records, and allied health professionals’ input being clearly written, informative and relevant. Any change in care required is documented and verbally handed over to relevant staff. Residents and families reported participation in the development and ongoing evaluation of care plans and are invited to the multidisciplinary review meetings (MDT).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on clinical procedures. The attention to meeting a diverse range of resident’s individual needs due to the three services provided was evident in all areas of service delivery. The GP interviewed, verified that medical input is sought in a timely manner and medical instructions are followed. Care staff confirmed that care was provided as outlined in the documentation. Documentation, observations and interviews verified the provision of care provided to residents was consistent with their needs, goals set and the plan of care. A range of equipment and resources was readily available suited to the levels of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three activities coordinators who are supported with regular contact with a trained diversional therapist holding the National Certificate in Diversional Therapy who is employed at this facility as a healthcare assistant. One of the activities coordinators is currently training to be a diversional therapist and is completing level 4. The activities coordinators are experienced and have worked at this facility from six to 16 years. Activities are provided by the care staff in the weekends and resources are available and prepared in readiness by the activities coordinators. There is an activities communication diary which is used by the activities coordinators and/or staff in the weekends to feed back about any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weekly planners are displayed in each area of the home and on the notice board at the entrance to the facility. Photographs of previous recent events are also displayed.</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assist with formulating an activities programme that is meaningful to the residents. The 24 hour clock/plan is used in the dementia unit for all residents highlighting times of the day when activities may be required to meet the needs of the individual residents presenting with challenging behaviours. The plans are reviewed as changes occur and as part of the formal six 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reflects residents’ goals, ordinary patterns of life and include normal community activities. Individual, group activities and regular events are offered on the programmes sighted. Residents and families are involved as much as possible in improving the programme through residents’ meetings and feed-back provided.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verified that they enjoy the programme. One resident likes to be independent but will join in when he wishes to attend.</w:t>
            </w:r>
          </w:p>
          <w:p w:rsidR="00EB7645" w:rsidRPr="00BE00C7" w:rsidP="00BE00C7">
            <w:pPr>
              <w:pStyle w:val="OutcomeDescription"/>
              <w:spacing w:before="120" w:after="120"/>
              <w:rPr>
                <w:rFonts w:cs="Arial"/>
                <w:b w:val="0"/>
                <w:lang w:eastAsia="en-NZ"/>
              </w:rPr>
            </w:pPr>
            <w:r w:rsidRPr="00BE00C7">
              <w:rPr>
                <w:rFonts w:cs="Arial"/>
                <w:b w:val="0"/>
                <w:lang w:eastAsia="en-NZ"/>
              </w:rPr>
              <w:t>Activities for the dementia unit are specific to the needs and abilities of the residents living there. Activities are offered at time when residents are most active and/or restless. This includes one-on-one and distraction activities. A church service is held every Wednesday.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interview: </w:t>
            </w:r>
          </w:p>
          <w:p w:rsidR="00EB7645" w:rsidRPr="00BE00C7" w:rsidP="00BE00C7">
            <w:pPr>
              <w:pStyle w:val="OutcomeDescription"/>
              <w:spacing w:before="120" w:after="120"/>
              <w:rPr>
                <w:rFonts w:cs="Arial"/>
                <w:b w:val="0"/>
                <w:lang w:eastAsia="en-NZ"/>
              </w:rPr>
            </w:pPr>
            <w:r w:rsidRPr="00BE00C7">
              <w:rPr>
                <w:rFonts w:cs="Arial"/>
                <w:b w:val="0"/>
                <w:lang w:eastAsia="en-NZ"/>
              </w:rPr>
              <w:t>Staff are fully informed that if hospital level resident numbers increase there will be more time allocated for one-on-one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 monthly interRAI re-assessment, or as residents’ needs change. Where progress is different than expected the service responds by initiating changes to the plan of care. Challenging behaviour plans are evaluated by the registered nurses in consultation with the care staff who cover this service on a regular basis. Short term care plans are used consistently to manage any issues or problems and evaluated as clinically indicated. The care staff interviewed know to report any changes to the registered nurse on duty at the time or the CSM. Residents and families interviewed provided positive examples of their involvement in evaluation of progress and any resulting changes that may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well supported to access or seek referral to other health and/or disability service providers. The service has a contracted GP but residents may choose to use another medical practitioner. Copies of referral were sighted in the resident records reviewed including to speech language therapist, dietician, hospice services, radiology, neurologist, physiotherapy consultations and/or health clinics at the outpatient services at Clutha First Health Services Ltd – rural hospital or Dunedin Public Hospital (DPH). The resident and family are kept up dated of the referral process. Any urgent referrals are attended to immediately such as sending the resident in an ambulance to the rural hospital services or the SDHB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adequate supplies and waste management resources for an increase in the number of hospital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05 June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There are safe areas leading easily from the dementia wing that allow for purposeful walking and activity in the secure external environment.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they knew the processes they should follow if any repairs or maintenance are required, any requests are appropriately actioned and that they were happy with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identified for increase to dual purpose are suitable, large and spacious. Three rooms have previously been double rooms and have been refurbished to remove the ceiling track for a curtain to divide the room, therefore these three would only be suitable for couples or as they are now for single occupancy.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rooms with ensuites.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All rooms requested to change from rest home to dual purpose have either a separate or shared ensuite. These are spacious and can accommodate mobility equipment and aids and care staff for those residents who would require full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currently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 width is wide enough to move mobility equipment such as a hoist in and out of the rooms. All rooms are spacious for additional equipment and three rooms would adequately fit another bed in and still have sufficient space - although these would only be suitable for couples due to lack of privacy curtains.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There are several other quiet sitting areas around the facility.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in communal areas for an increase in the number of hospital residents with mobility aids and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 facility’s laundry, equipment and chemicals are suitably large enough to manage the transition from 14 rest home to dual purpose (hospital level)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30 April 2015.  A trial evacuation takes place six-monthly with a copy sent to the New Zealand Fire Service, the most recent being on 16 April 2019. The orientation programme includes fire and security training.  Staff confirmed their awareness of the emergency procedures. The emergency plan considers the special needs of people with dementia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full occupancy of residents and meets the Ministry of Civil Defence and Emergency Management for the region. Water storage tanks are located around the complex, and there is a generator available for hire if required. Emergency lighting is regularly tested.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 rooms identified for dual purpose are already included in the emergency and evacuation plans and included in numbers for any civil defence emergency. There are two call bells available in the four double rooms identified for couples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with views to the gardens outside. Heating is provided by ceiling heaters, heat pumps or underfloor heating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interview:</w:t>
            </w:r>
          </w:p>
          <w:p w:rsidR="00EB7645" w:rsidRPr="00BE00C7" w:rsidP="00BE00C7">
            <w:pPr>
              <w:pStyle w:val="OutcomeDescription"/>
              <w:spacing w:before="120" w:after="120"/>
              <w:rPr>
                <w:rFonts w:cs="Arial"/>
                <w:b w:val="0"/>
                <w:lang w:eastAsia="en-NZ"/>
              </w:rPr>
            </w:pPr>
            <w:r w:rsidRPr="00BE00C7">
              <w:rPr>
                <w:rFonts w:cs="Arial"/>
                <w:b w:val="0"/>
                <w:lang w:eastAsia="en-NZ"/>
              </w:rPr>
              <w:t>There are large windows to allow natural light and ventilation in the rooms identified for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implemented infection prevention and control (IPC) programme to minimise the risk of infection to residents, staff and visitors. The programme is guided by a current infection control manual, with input from the GP, pharmacy and SDHB as needed. The infection control programme and manual are reviewed annually. This was last reviewed 10 December 2018.</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an experienced registered nurse is the designated infection control coordinator (ICC) whose role and responsibilities are defined in an HLL job description. The CSM is currently orientating an RN to this role.  Infection control matters, including surveillance results are reported monthly by the clinical services manager to the care home &amp; village manager and tabled at the quality/risk/staff meeting. The committee is developed and implemented and includes the care home &amp; village manager, clinical services manager and representatives from all service areas.</w:t>
            </w:r>
          </w:p>
          <w:p w:rsidR="00EB7645" w:rsidRPr="00BE00C7" w:rsidP="00BE00C7">
            <w:pPr>
              <w:pStyle w:val="OutcomeDescription"/>
              <w:spacing w:before="120" w:after="120"/>
              <w:rPr>
                <w:rFonts w:cs="Arial"/>
                <w:b w:val="0"/>
                <w:lang w:eastAsia="en-NZ"/>
              </w:rPr>
            </w:pPr>
            <w:r w:rsidRPr="00BE00C7">
              <w:rPr>
                <w:rFonts w:cs="Arial"/>
                <w:b w:val="0"/>
                <w:lang w:eastAsia="en-NZ"/>
              </w:rPr>
              <w:t>Signage is used around the facility. Visitors and staff are informed that if they are unwell they should not enter the facility. The infection control manual kept in the staff room provides guidance for staff about how long they must stay away from work if they have been unwell. Staff interviewed understood their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interview: </w:t>
            </w:r>
          </w:p>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practices will not be affected by the reconfiguration.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training ICC has appropriate skills, intensive care unit experience and has worked in other care settings. The RN interviewed has knowledge and qualifications for the role though recently appointed within the last six months. The ICC has completed the online Ministry of Health (MoH) training online and has attended other relevant training/study days as verified in the training records sighted. The infection control committee consists of the CSM, RN, housekeeping, laundry, head cook, enrolled nurse and caregiver representatives.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is accessed from the infection control team at the DHB, the community laboratory, the GP and Public Health as required. The coordinator has access to the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The service has recently had two simultaneous outbreaks of infection which was managed efficiently and effectively to ensure the best outcome for the residents and staff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policies reflected the requirements of the infection prevention and control standard and current accepted good practice. Policies have been reviewed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All staff were observed following organisational policies, such as appropriate use off hand-sanitisers, good hand-washing techniques and use of personal protective equipment such as gloves and aprons.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visual inspection and documentation verified staff have received education in infection prevention and control at induction/orientation and ongoing educational sessions. Education is provided by suitably qualified registered nurses and the ICC. Content of training is documented and evaluated to ensure it is relevant, current and clearly understood. A record of staff participation in the sessions is maintained.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the summer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explained by the ICC is appropriate to that recommended for long term care facilities and includes urinary infections, respiratory tract infections, skin, wound, eye, gastro enteritis and other known infections. The ICC reviews all reported infections and these are documented. An infection data care plan/infection short term care plan is commenced and discussed at the staff handover between shifts to ensure early intervention occurs as per the short term care plan.</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is identify any trends, possible causative factors and required actions. Results of the surveillance programme are shared with staff via regular staff meetings and at staff handovers. Graphs are produced that identify any trends for the current year and comparisons against previous years. Data is benchmarked externally within the organisation. The infection rate is especially low due to the decreased number of residents in the facility currently.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CSM as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five residents were using six restraints and one resident was using an enabler,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 The CSM has introduced strategies to reduce the number of restraints in use and this demonstrated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care home and village manager, CSM and RNs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analysed and has reduced.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family/EPOA. The 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low beds and bedroom close to office area (see criterion 2.1.1.4).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support office restraint committee undertakes a six-monthly review of all restraint use which includes all the requirements of this Standard. Following this Clutha Views restraint committee also reviews the data provided by support office restraint committee. Six monthly restraint meetings and reports are completed and individual use of restraint use is reported to the quality and staff meetings and back to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Minutes of meeting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the CSM confirmed that the use of restraint has been reduced by 62.5% over the past year, and many residents were using dual restraints where now there is only one resident using dual restraints (refer criterion 2.1.1).</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5"/>
        <w:gridCol w:w="1280"/>
        <w:gridCol w:w="4888"/>
        <w:gridCol w:w="61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3.2.1</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team/personnel and/or committee shall comprise, or have access to, persons with the range of skills, expertise, and resources necessary to achieve the requirements of this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had an outbreak of norovirus on the 22 July 2019 until the 05 August 2019. This involved both residents and staff. A case log was maintained and updated on a daily basis and correspondence to public health was documented and they were contacted of progress of the outbreak throughout the process. The pandemic planning kits came into practice and were used appropriately by staff. A second outbreak occurred on the 09 August 2019 and the duration of the outbreak lasted to the 24 August 2019. This influenza outbreak was confirmed and reported as required and was significant due to the number of residents and staff involved and the death of one resident. All infection prevention and outbreak control protocol was implemented and the service providers managed to contain this outbreak efficiently and professionally. The daily log reviewed highlighted progress and/or improvements needed. Handovers were provided to staff regularly throughout the outbreak.  The daily evaluations and outcomes were reviewed and analysed and any required interventions were put in place. Residents’ safety was not compromised in any way. A letter from Public Health South evidenced the success of staff containing both outbreaks in a timely and efficient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is made beyond the expected full attainment for the way in which the infection control team coordinated and managed two different infection control outbreaks one after the other. The team worked collaboratively with Public Health South (Health protection officers), staff, families, residents, the GP and organisational management to achieve the best outcome.  Residents and families confirmed that they were kept well informed at all times relating to the outbreak. The infection control records during the outbreaks were documented to a high standard. No residents in the dementia service were involved with the second outbreak and only two residents were affected by the first outbreak of gastroenteritis. Post outbreak evaluations highlighted that both rest home and hospital services had residents involved in each separate outbreak but the high incidence of influenza was confined to the hospital wings. Some outcomes recorded included an improvement was required to ensure there was large print infection control signage available and that the isolation protocol was challenging at times although adequate resources were available. Some of the positive outcomes reflected on the consistency of staff and residents demonstrating good handwashing techniques, the use of bleach was very effective for cleaning purposes and the cleaning staff being kept well informed on a daily basis. The team work of all staff was emphasised throughout and this was a significant outcome and ensured the success of managing these two outbreaks effectively and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HLL restraint review committee gathers evidence of restraints on a six-monthly basis and analyses this as benchmarked data for all services (around 40 facilities). In 2018 Clutha Views Lifecare was in line with benchmark recommendations for the number of residents. The CSM noted that factors in not reducing restraints even further were:</w:t>
            </w:r>
          </w:p>
          <w:p w:rsidR="00EB7645" w:rsidRPr="00BE00C7" w:rsidP="00BE00C7">
            <w:pPr>
              <w:pStyle w:val="OutcomeDescription"/>
              <w:spacing w:before="120" w:after="120"/>
              <w:rPr>
                <w:rFonts w:cs="Arial"/>
                <w:b w:val="0"/>
                <w:lang w:eastAsia="en-NZ"/>
              </w:rPr>
            </w:pPr>
            <w:r w:rsidRPr="00BE00C7">
              <w:rPr>
                <w:rFonts w:cs="Arial"/>
                <w:b w:val="0"/>
                <w:lang w:eastAsia="en-NZ"/>
              </w:rPr>
              <w:t>1. Family concern should the resident fall and injure themselves.</w:t>
            </w:r>
          </w:p>
          <w:p w:rsidR="00EB7645" w:rsidRPr="00BE00C7" w:rsidP="00BE00C7">
            <w:pPr>
              <w:pStyle w:val="OutcomeDescription"/>
              <w:spacing w:before="120" w:after="120"/>
              <w:rPr>
                <w:rFonts w:cs="Arial"/>
                <w:b w:val="0"/>
                <w:lang w:eastAsia="en-NZ"/>
              </w:rPr>
            </w:pPr>
            <w:r w:rsidRPr="00BE00C7">
              <w:rPr>
                <w:rFonts w:cs="Arial"/>
                <w:b w:val="0"/>
                <w:lang w:eastAsia="en-NZ"/>
              </w:rPr>
              <w:t>2. Staff and family acceptance that restraints reduced harm.</w:t>
            </w:r>
          </w:p>
          <w:p w:rsidR="00EB7645" w:rsidRPr="00BE00C7" w:rsidP="00BE00C7">
            <w:pPr>
              <w:pStyle w:val="OutcomeDescription"/>
              <w:spacing w:before="120" w:after="120"/>
              <w:rPr>
                <w:rFonts w:cs="Arial"/>
                <w:b w:val="0"/>
                <w:lang w:eastAsia="en-NZ"/>
              </w:rPr>
            </w:pPr>
            <w:r w:rsidRPr="00BE00C7">
              <w:rPr>
                <w:rFonts w:cs="Arial"/>
                <w:b w:val="0"/>
                <w:lang w:eastAsia="en-NZ"/>
              </w:rPr>
              <w:t>3. Not identifying ongoing measures to significantly reduce the number of restraints.</w:t>
            </w:r>
          </w:p>
          <w:p w:rsidR="00EB7645" w:rsidRPr="00BE00C7" w:rsidP="00BE00C7">
            <w:pPr>
              <w:pStyle w:val="OutcomeDescription"/>
              <w:spacing w:before="120" w:after="120"/>
              <w:rPr>
                <w:rFonts w:cs="Arial"/>
                <w:b w:val="0"/>
                <w:lang w:eastAsia="en-NZ"/>
              </w:rPr>
            </w:pPr>
            <w:r w:rsidRPr="00BE00C7">
              <w:rPr>
                <w:rFonts w:cs="Arial"/>
                <w:b w:val="0"/>
                <w:lang w:eastAsia="en-NZ"/>
              </w:rPr>
              <w:t>4. The link between frequent fallers and skin tear injuries and restraints in use.</w:t>
            </w:r>
          </w:p>
          <w:p w:rsidR="00EB7645" w:rsidRPr="00BE00C7" w:rsidP="00BE00C7">
            <w:pPr>
              <w:pStyle w:val="OutcomeDescription"/>
              <w:spacing w:before="120" w:after="120"/>
              <w:rPr>
                <w:rFonts w:cs="Arial"/>
                <w:b w:val="0"/>
                <w:lang w:eastAsia="en-NZ"/>
              </w:rPr>
            </w:pPr>
            <w:r w:rsidRPr="00BE00C7">
              <w:rPr>
                <w:rFonts w:cs="Arial"/>
                <w:b w:val="0"/>
                <w:lang w:eastAsia="en-NZ"/>
              </w:rPr>
              <w:t>In reviewing data provided by HLL the CSM identified ‘frequent fallers’ that now have restraints in place, and the timeframe and area when falls and skin tear injuries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identified a project to significantly reduce restraints with a consideration for safety for residents and implemented strategies: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‘falls person’ was employed from 3pm to focus on falls and skin tear injury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who were restrained as a result of frequent falls were placed in a high staff traffic area next to the office. </w:t>
            </w:r>
          </w:p>
          <w:p w:rsidR="00EB7645" w:rsidRPr="00BE00C7" w:rsidP="00BE00C7">
            <w:pPr>
              <w:pStyle w:val="OutcomeDescription"/>
              <w:spacing w:before="120" w:after="120"/>
              <w:rPr>
                <w:rFonts w:cs="Arial"/>
                <w:b w:val="0"/>
                <w:lang w:eastAsia="en-NZ"/>
              </w:rPr>
            </w:pPr>
            <w:r w:rsidRPr="00BE00C7">
              <w:rPr>
                <w:rFonts w:cs="Arial"/>
                <w:b w:val="0"/>
                <w:lang w:eastAsia="en-NZ"/>
              </w:rPr>
              <w:t>- Family were consulted throughout and provided with options to reduce the use of restraints while maintaining safety for their family member, for example: hi - lo beds, landing mats, sensor mats and regular monitoring by staff for specific tasks such as toileting, positioning, fluids.</w:t>
            </w:r>
          </w:p>
          <w:p w:rsidR="00EB7645" w:rsidRPr="00BE00C7" w:rsidP="00BE00C7">
            <w:pPr>
              <w:pStyle w:val="OutcomeDescription"/>
              <w:spacing w:before="120" w:after="120"/>
              <w:rPr>
                <w:rFonts w:cs="Arial"/>
                <w:b w:val="0"/>
                <w:lang w:eastAsia="en-NZ"/>
              </w:rPr>
            </w:pPr>
            <w:r w:rsidRPr="00BE00C7">
              <w:rPr>
                <w:rFonts w:cs="Arial"/>
                <w:b w:val="0"/>
                <w:lang w:eastAsia="en-NZ"/>
              </w:rPr>
              <w:t>- Staff training in restraint reduction and safe strategies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 CSM reviewed each restraint every month, gaining feedback from staff and family to identify which strategies worked and which ones did not.</w:t>
            </w:r>
          </w:p>
          <w:p w:rsidR="00EB7645" w:rsidRPr="00BE00C7" w:rsidP="00BE00C7">
            <w:pPr>
              <w:pStyle w:val="OutcomeDescription"/>
              <w:spacing w:before="120" w:after="120"/>
              <w:rPr>
                <w:rFonts w:cs="Arial"/>
                <w:b w:val="0"/>
                <w:lang w:eastAsia="en-NZ"/>
              </w:rPr>
            </w:pPr>
            <w:r w:rsidRPr="00BE00C7">
              <w:rPr>
                <w:rFonts w:cs="Arial"/>
                <w:b w:val="0"/>
                <w:lang w:eastAsia="en-NZ"/>
              </w:rPr>
              <w:t>After six months an evaluation showed that residents restraints were beginning to reduce as well as a reduction in falls for residents who were ‘frequent fallers’, and skin tears. The CSM continued with the implemented process and used the six-monthly restraint committee as an evaluation of the project.</w:t>
            </w:r>
          </w:p>
          <w:p w:rsidR="00EB7645" w:rsidRPr="00BE00C7" w:rsidP="00BE00C7">
            <w:pPr>
              <w:pStyle w:val="OutcomeDescription"/>
              <w:spacing w:before="120" w:after="120"/>
              <w:rPr>
                <w:rFonts w:cs="Arial"/>
                <w:b w:val="0"/>
                <w:lang w:eastAsia="en-NZ"/>
              </w:rPr>
            </w:pPr>
            <w:r w:rsidRPr="00BE00C7">
              <w:rPr>
                <w:rFonts w:cs="Arial"/>
                <w:b w:val="0"/>
                <w:lang w:eastAsia="en-NZ"/>
              </w:rPr>
              <w:t>A further evaluation in June demonstrated: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continued reduction in restraint use, as well as falls and skin tears. </w:t>
            </w:r>
          </w:p>
          <w:p w:rsidR="00EB7645" w:rsidRPr="00BE00C7" w:rsidP="00BE00C7">
            <w:pPr>
              <w:pStyle w:val="OutcomeDescription"/>
              <w:spacing w:before="120" w:after="120"/>
              <w:rPr>
                <w:rFonts w:cs="Arial"/>
                <w:b w:val="0"/>
                <w:lang w:eastAsia="en-NZ"/>
              </w:rPr>
            </w:pPr>
            <w:r w:rsidRPr="00BE00C7">
              <w:rPr>
                <w:rFonts w:cs="Arial"/>
                <w:b w:val="0"/>
                <w:lang w:eastAsia="en-NZ"/>
              </w:rPr>
              <w:t>- Family communication, input and approval has been ongoing.</w:t>
            </w:r>
          </w:p>
          <w:p w:rsidR="00EB7645" w:rsidRPr="00BE00C7" w:rsidP="00BE00C7">
            <w:pPr>
              <w:pStyle w:val="OutcomeDescription"/>
              <w:spacing w:before="120" w:after="120"/>
              <w:rPr>
                <w:rFonts w:cs="Arial"/>
                <w:b w:val="0"/>
                <w:lang w:eastAsia="en-NZ"/>
              </w:rPr>
            </w:pPr>
            <w:r w:rsidRPr="00BE00C7">
              <w:rPr>
                <w:rFonts w:cs="Arial"/>
                <w:b w:val="0"/>
                <w:lang w:eastAsia="en-NZ"/>
              </w:rPr>
              <w:t>- Safe outcomes for residents and an overall reduction in actual restraints from 16 in 2018 to six at the time of audit. A 62.5% decrease since the implementation of the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reduced restraint use while maintaining resident safety particularly for frequent fallers by 62.5%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Clutha Views</w:t>
    </w:r>
    <w:bookmarkEnd w:id="58"/>
    <w:r>
      <w:rPr>
        <w:rFonts w:cs="Arial"/>
        <w:sz w:val="16"/>
        <w:szCs w:val="20"/>
      </w:rPr>
      <w:tab/>
      <w:t xml:space="preserve">Date of Audit: </w:t>
    </w:r>
    <w:bookmarkStart w:id="59" w:name="AuditStartDate1"/>
    <w:r>
      <w:rPr>
        <w:rFonts w:cs="Arial"/>
        <w:sz w:val="16"/>
        <w:szCs w:val="20"/>
      </w:rPr>
      <w:t>29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