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Riverleigh Care Limited - Riverleigh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Riverleigh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Riverleigh Care Ltd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July 2019</w:t>
      </w:r>
      <w:bookmarkEnd w:id="7"/>
      <w:r w:rsidRPr="009418D4">
        <w:rPr>
          <w:rFonts w:cs="Arial"/>
        </w:rPr>
        <w:tab/>
        <w:t xml:space="preserve">End date: </w:t>
      </w:r>
      <w:bookmarkStart w:id="8" w:name="AuditEndDate"/>
      <w:r w:rsidR="00A4268A">
        <w:rPr>
          <w:rFonts w:cs="Arial"/>
        </w:rPr>
        <w:t>25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Riverleigh Rest Home is privately owned.  The service provides; hospital services (hospital and medical); rest home care and residential disability services - Physical.  On the day of audit there were 59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practitioners. </w:t>
      </w:r>
    </w:p>
    <w:p w:rsidRPr="00A4268A">
      <w:pPr>
        <w:spacing w:before="240" w:line="276" w:lineRule="auto"/>
        <w:rPr>
          <w:rFonts w:eastAsia="Calibri"/>
        </w:rPr>
      </w:pPr>
      <w:r w:rsidRPr="00A4268A">
        <w:rPr>
          <w:rFonts w:eastAsia="Calibri"/>
        </w:rPr>
        <w:t xml:space="preserve">A manager/registered nurse is employed and responsible for the daily operations of the service.  A clinical coordinator and stable workforce support her.  </w:t>
      </w:r>
    </w:p>
    <w:p w:rsidRPr="00A4268A">
      <w:pPr>
        <w:spacing w:before="240" w:line="276" w:lineRule="auto"/>
        <w:rPr>
          <w:rFonts w:eastAsia="Calibri"/>
        </w:rPr>
      </w:pPr>
      <w:r w:rsidRPr="00A4268A">
        <w:rPr>
          <w:rFonts w:eastAsia="Calibri"/>
        </w:rPr>
        <w:t xml:space="preserve">The residents and relatives spoke positively about the care provided.  </w:t>
      </w:r>
    </w:p>
    <w:p w:rsidRPr="00A4268A">
      <w:pPr>
        <w:spacing w:before="240" w:line="276" w:lineRule="auto"/>
        <w:rPr>
          <w:rFonts w:eastAsia="Calibri"/>
        </w:rPr>
      </w:pPr>
      <w:r w:rsidRPr="00A4268A">
        <w:rPr>
          <w:rFonts w:eastAsia="Calibri"/>
        </w:rPr>
        <w:t xml:space="preserve">There were no areas identified for improvement.  The service is awarded a continued improvement around falls prevention.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evident in the entrance and on noticeboards.  Policies are implemented to support rights such as privacy, dignity, abuse and neglect, culture, values and beliefs, complaints, advocacy and informed consent.  Care planning accommodates individual choices of residents and/or their family/whānau.  Family stated they are kept well informed on their relative’s health status.  Residents are encouraged to maintain links with the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Riverleigh Rest Home implements a new quality and risk management system.  Key components of the quality management system include management of complaints, implementation of an internal audit schedule, annual satisfaction surveys, incidents and accidents, review of infections, review of risk and monitoring of health and safety, including hazards.  The service meetings include discussion around quality data.  Human resource policies are in place including a documented rationale for determining staffing levels and skill mixes.  A roster provides sufficient and appropriate coverage for the effective delivery of care and there is sufficient staff on duty at all times.  An implemented orientation programme provides new staff with relevant information for safe work practice.  The education programme includes mandatory training requirements including supporting younger people with a disability and additional in-service including medical conditions.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is available for prospective residents and their families prior to or on entry to the service.  Registered nurses are responsible for each stage of service provision, including assessment, planning and reviewing residents' needs, outcomes and goals.  Resident and/or family/whānau input is evident.  Care plans viewed in resident records demonstrated service integration and were evaluated at least six-monthly.  Resident files included medical notes by the general practitioner and allied health professionals.   </w:t>
      </w:r>
    </w:p>
    <w:p w:rsidRPr="00A4268A" w:rsidP="00621629">
      <w:pPr>
        <w:spacing w:before="240" w:line="276" w:lineRule="auto"/>
        <w:rPr>
          <w:rFonts w:eastAsia="Calibri"/>
        </w:rPr>
      </w:pPr>
      <w:r w:rsidRPr="00A4268A">
        <w:rPr>
          <w:rFonts w:eastAsia="Calibri"/>
        </w:rPr>
        <w:t xml:space="preserve">The registered nurses and medication competent caregivers are responsible for administration of medicines and complete annual education and medication competencies.  Medication policies reflect legislative requirements and guidelines.  Medication charts sighted had been reviewed at least three-monthly by the general practitioner.     </w:t>
      </w:r>
    </w:p>
    <w:p w:rsidRPr="00A4268A" w:rsidP="00621629">
      <w:pPr>
        <w:spacing w:before="240" w:line="276" w:lineRule="auto"/>
        <w:rPr>
          <w:rFonts w:eastAsia="Calibri"/>
        </w:rPr>
      </w:pPr>
      <w:r w:rsidRPr="00A4268A">
        <w:rPr>
          <w:rFonts w:eastAsia="Calibri"/>
        </w:rPr>
        <w:t xml:space="preserve">The activities coordinator and activities assistant provide a varied activity programme.  The programme includes community visitors, outings, entertainment and activities that meet the individual recreational, physical, cultural and cognitive abilities and preferences for residents.    </w:t>
      </w:r>
    </w:p>
    <w:p w:rsidRPr="00A4268A" w:rsidP="00621629">
      <w:pPr>
        <w:spacing w:before="240" w:line="276" w:lineRule="auto"/>
        <w:rPr>
          <w:rFonts w:eastAsia="Calibri"/>
        </w:rPr>
      </w:pPr>
      <w:r w:rsidRPr="00A4268A">
        <w:rPr>
          <w:rFonts w:eastAsia="Calibri"/>
        </w:rPr>
        <w:t xml:space="preserve">Residents' food preferences and dietary requirements are identified on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Processes and policies are in place for the management of waste and hazardous substances in place.  Incidents are reported in a timely manner.  Chemicals are stored safely throughout the facility.  The building holds a current warrant of fitness.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Resident bedrooms are personalised.  Documented policies and procedures for cleaning and laundry services are implemented with appropriate monitoring systems in place to evaluate the effectiveness of these services.  Policies and procedures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on safe restraint use and enablers.  There were six residents voluntarily using enablers and one resident with a restraint.  A registered nurse is the restraint coordinator.  Resident files included assessments, consents and care plans appropriate to the identified risk and care needed for enablers and restraint.  Evaluations and reviews assessing the continued need for restraint were documented.  Staff receive training around restraint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coordinator/registered nurse is responsible for coordinating education and training for staff.  The infection control coordinator has completed annual external training.  There is a suite of infection control policies and guidelines to support practice.  The infection control coordinator uses the information obtained through surveillance to determine infection control activities and education needs within the facility.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92"/>
        <w:gridCol w:w="1280"/>
        <w:gridCol w:w="88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residents (five hospital (including three younger persons, and one respite) and also two at rest home level) and four relatives (two hospital level, including the family of  a younger person and two rest home level of care) interviewed, confirmed that information has been provided around the Health and Disability Commissioner (HDC) Code of Health and Disability Services Consumers' Rights (the Code).  Residents stated their rights are respected when receiving services and care.  There is a resident rights policy in place.  Discussion with four caregivers and four registered nurses (RN) identified they were aware of the Code and could describe the key principles of resident’s rights when delivering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were discussed with residents and families on admission.  Written general consents were signed as part of the admission agreement.  Specific consent had been signed by resident/relatives for procedures such as the influenza vaccine.  Discussions with registered nurses confirmed that staff understand importance of obtaining informed consent for providing personal care and accessing residents’ rooms.</w:t>
            </w:r>
          </w:p>
          <w:p w:rsidR="00EB7645" w:rsidRPr="00BE00C7" w:rsidP="00BE00C7">
            <w:pPr>
              <w:pStyle w:val="OutcomeDescription"/>
              <w:spacing w:before="120" w:after="120"/>
              <w:rPr>
                <w:rFonts w:cs="Arial"/>
                <w:b w:val="0"/>
                <w:lang w:eastAsia="en-NZ"/>
              </w:rPr>
            </w:pPr>
            <w:r w:rsidRPr="00BE00C7">
              <w:rPr>
                <w:rFonts w:cs="Arial"/>
                <w:b w:val="0"/>
                <w:lang w:eastAsia="en-NZ"/>
              </w:rPr>
              <w:t>Enduring power of attorney (EPOA) evidence is filed in the residents’ electronic charts and activated where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for health care including resuscitation status had been completed where residents were deemed to be competent.  Where residents were deemed incompetent to make a resuscitation decision the GP had made a medically indicated resuscitation decision in consultation with family / whanau.  Resident files show evidence that where appropriate the service actively involve family / whanau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provided with a copy of the Code of Health and Disability Services Consumer Rights and Advocacy pamphlets on entry.  Resident advocates are identified during the admission process.  Pamphlets on advocacy services are available at the entrance.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their understanding of the availability of advocacy services.  Staff receive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family/whānau and friends are encouraged to visit the home and are not restricted to visiting times.  All residents interviewed confirmed that family and friends are able to visit at any time and visitors were observed attending the home.  Residents and relatives verified that they have been supported and encouraged to remain involved in the community.  Community groups visit the home as part of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email and written on the complaints form is maintained by the manager using an online complaints’ register.  There were 26 complaints for 2018 and five complaints (year to date) for 2019 including one via the advocacy/Health and Disability Commissioner.  All complaints/concerns have been managed in line with Right 10 of the Code.  </w:t>
            </w:r>
          </w:p>
          <w:p w:rsidR="00EB7645" w:rsidRPr="00BE00C7" w:rsidP="00BE00C7">
            <w:pPr>
              <w:pStyle w:val="OutcomeDescription"/>
              <w:spacing w:before="120" w:after="120"/>
              <w:rPr>
                <w:rFonts w:cs="Arial"/>
                <w:b w:val="0"/>
                <w:lang w:eastAsia="en-NZ"/>
              </w:rPr>
            </w:pPr>
            <w:r w:rsidRPr="00BE00C7">
              <w:rPr>
                <w:rFonts w:cs="Arial"/>
                <w:b w:val="0"/>
                <w:lang w:eastAsia="en-NZ"/>
              </w:rPr>
              <w:t>A review of complaints documentation evidenced resolution of the complaint, to the satisfaction of the complainant and all complaints have been discussed in weekly head of department and monthly staff and RN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advised that they are aware of the complaint’s procedure.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 through the advocacy network via the Health and Disability Commissioner has been responded to by the service and is currently with the Health and Disability Commissioner.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available information on The Health and Disability Commissioner Code of Health and Disability Services Consumers’ Rights (the Code) at the main entrance to the facility.  The code of rights is also displayed in the resident areas.  A welcome information folder includes information about the code of rights.  The resident, family or legal representative has the opportunity to discuss this prior to entry and/or at admission, with the general manager or clinical coordinator.  Residents and relatives confirmed they receive sufficient verbal and written information to be able to make informed choices on matters that affect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physical and personal privacy for residents.  During the audit, staff were observed treating residents with respect and ensuring their dignity is maintained.  Staff interviewed were able to describe how they maintain resident privacy.  Staff attend privacy and dignity, and abuse and neglect in-service as part of their education plan.  Care staff interviewed stated they promote independence with daily activities where appropriate.  Resident’s cultural, social, religious and spiritual beliefs are identified on admission and they are included in the resident’s care plan/activity plan, to ensure the resident receives services that are acceptable to the resident/relatives.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 safety and awareness policy to guide staff in the delivery of culturally safe care.  The Māori health plan identifies the importance of whānau.  There were no residents who identified as Māori at the time of audit.  The manager, clinical coordinator and care staff were able to describe how to access information and provide culturally safe care for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culturally appropriate service by identifying any cultural needs as part of the assessment and planning process.  Care plans are reviewed at least six monthly to ensure the clients individual culture, values and beliefs are being met.  Staff recognise and respond to values, beliefs and cultural differences.  Residents are supported to maintain their spiritual needs with regular on-site church services, and they are supported to attend other community groups as desired.  Recent cultural training included staff from different cultures and nationalities describing their culture and beliefs to the staff group.  Staff reported during the audit that this process was enjoyable and meaningful to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meets best practice in regard to recruitment, including reference checks and police vetting.  Professional boundaries are defined in job descriptions.  Staff were observed to be professional within the culture of a family environment.  Caregivers interviewed could describe how they build a supportive relationship with each resident and stated that their open and family-like approach to care and support assists residents and their families to be able to treat the service like home.  Residents interviewed stated they are treated fairly and with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team at Riverleigh are committed to providing service of a high standard, based on the provider statement and philosophy.  This was observed during the day with the staff demonstrating a caring and respectful attitude to the residents.  All residents and families spoke positively about the care provided.  The service has implemented new policies and procedures developed by an external consultant that provide a good level of assurance that it is adhering to relevant standards.  Care staff and RNs have access to internal and external education opportunities.  Staff have a sound understanding of principles of aged care and care of the younger person and stated that they feel supported by management.  Regular facility and clinical meetings, and shift handovers enhance communication between the teams and provided consistency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owner (September 2018) has implemented a series of improvements and new purchases including; new low beds and shower chairs, new flooring, re-decoration throughout, and seven showers upgraded to wet floor showers.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clinical coordinator promote an open-door policy.  Relatives/residents are aware of the open-door policy and confirmed on interview that the staff and management are approachable and available.  Residents/relatives have the opportunity to feedback on service delivery through resident meetings (open to family) and annual surveys.  Results and areas for improvement are discussed at resident meetings (sighted in minutes) and posted on the resident noticeboard.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for falls showed relatives had been informed of the incident.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is not covered by the agreement.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Riverleigh Rest Home is privately owned.  The service provides; hospital (geriatric and medical) medical, rest home care and residential disability services - Physical.  All beds are dual-purpose.  On the day of audit there were 59 residents; 20 rest home residents, including one respite, and one funded through the Long-Term Support Chronic Health Conditions (LTS-CHC) contract.  There were also 39 hospital residents including; six younger persons disabled, three respite, and one LTS-CHC.  All other residents were under the ARCC.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and suitably qualified manager who is a registered nurse (RN) and has been in this position for four years.  The manager is supported by a clinical coordinator.  The clinical coordinator is responsible for oversight of the clinical service in the facility.  The manager and owner are in regular contact. The manager reported that the owner is supportive.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strategic plan, and quality plan and goals have been reviewed regularly to measure achievements and quality improvements.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maintains an annual practicing certificate and has maintained at least eight hours annually of professional development that is related to managing a rest home and hospital including attending DHB forums and steering groups.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general manager the clinical coordinator provides clinical and management oversight of the facility including the on-call requirement.  RNs assist with clinical oversight and supervision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new quality risk management plan, recently purchased from an external consultant.  The service has in place a range of policies and procedures to support service delivery that includes hospital level and policies appropriate to younger disabled people.  Staff have been introduced to the new policies through training and meetings and are required to sign the reading sheet to acknowledge they have read the policies. </w:t>
            </w:r>
          </w:p>
          <w:p w:rsidR="00EB7645" w:rsidRPr="00BE00C7" w:rsidP="00BE00C7">
            <w:pPr>
              <w:pStyle w:val="OutcomeDescription"/>
              <w:spacing w:before="120" w:after="120"/>
              <w:rPr>
                <w:rFonts w:cs="Arial"/>
                <w:b w:val="0"/>
                <w:lang w:eastAsia="en-NZ"/>
              </w:rPr>
            </w:pPr>
            <w:r w:rsidRPr="00BE00C7">
              <w:rPr>
                <w:rFonts w:cs="Arial"/>
                <w:b w:val="0"/>
                <w:lang w:eastAsia="en-NZ"/>
              </w:rPr>
              <w:t>There are weekly heads of departments meetings, monthly staff and RN meetings.  Meeting minutes evidenced discussion around quality data including (but not limited to) complaints, compliments, health and safety, accident/incident, infection control, internal audit and survey results.  Trends are identified and analysed for areas of improvement.  Meeting minutes document in-depth discussion and ad hoc training linked to audits, incidents, restraint and infection control each month.  Individual resident needs are discussed at meetings where issues have been raised.  Caregivers confirmed on interview they were kept informed on quality data including corrective actions and quality initiatives.</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are completed as scheduled.  Corrective action plans are completed for any corrective actions required.  The manager signs off completed corrective actions.  Internal audits are discussed along with corrective actions as needed during staff and RN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coordinator who has completed health and safety training.  The health and safety committee, as part of the staff meeting, review monthly accident/incident reports and review the hazard reports and register.  Falls prevention strategies are in place that include the analysis of falls and the identification of interventions on a case-by-case basis to minimise future falls.  Health and safety information is displayed on the staff noticeboard.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risk management and the health and safety framework, there is an accident/incident policy.  The service collects incident and accident data monthly and provides reports to all facility meetings.  Accident/incident data, trends and corrective actions are documented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were reviewed from June 2019 on the online system.  All incident forms identified timely RN assessment of the resident and corrective actions or recommendations that had been completed and signed off by the manager.  Neurological observations have been completed for unwitnessed falls and any known head injury.  The caregivers interviewed could discuss the incident reporting process, they also described the discussion of incidents at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could describe situations that would require reporting to relevant authorities.  The service has reported two section 31 notifications (unstageable pressure injury and one absconding).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 practising certificates and allied health professionals is current.  Eight staff files were reviewed (two RNs, one activities person and five caregivers).  All files contained relevant employment documentation including current performance appraisals and completed orientations.  The orientation programme provides new staff with relevant information for safe work practice.  Care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have access to external training that includes clinical education relevant to medical conditions.  In-service education delivered by internal and external educators included; end of life/palliative care, caring for younger people with a disability, pressure injury prevention and management, wound care, and pain management.  Ad hoc training has been delivered though staff meetings related to new policies and issues raised each month though audits and incidents.  Four RNs including the clinical coordinator are interRAI competent.  Staff complete competencies relevant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policy that determines staffing levels and skill mixes for safe service delivery.  A roster provides sufficient and appropriate coverage for the effective delivery of care and support.  The manager (RN) and clinical coordinator (RN) are on duty during the day Monday to Friday.  Both share the on-call requirement for clinical and non-clinical concerns.  There are two RNs on the AM and the PM shift (one long shift and one short shift) and one RN at night.</w:t>
            </w:r>
          </w:p>
          <w:p w:rsidR="00EB7645" w:rsidRPr="00BE00C7" w:rsidP="00BE00C7">
            <w:pPr>
              <w:pStyle w:val="OutcomeDescription"/>
              <w:spacing w:before="120" w:after="120"/>
              <w:rPr>
                <w:rFonts w:cs="Arial"/>
                <w:b w:val="0"/>
                <w:lang w:eastAsia="en-NZ"/>
              </w:rPr>
            </w:pPr>
            <w:r w:rsidRPr="00BE00C7">
              <w:rPr>
                <w:rFonts w:cs="Arial"/>
                <w:b w:val="0"/>
                <w:lang w:eastAsia="en-NZ"/>
              </w:rPr>
              <w:t>There are four caregivers on the AM and four on the PM shift (two long and two short shifts) and two caregivers on the night shift.  Caregivers interviewed were happy with staffing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are adequate staff on duty at all times.  Staff stated they feel supported by the clinical coordinator and manager who respond quickly to afterhours calls.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laundry and cleaning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paper-based and electronic resident files appropriate to the service type.  Residents entering the service have all relevant initial information recorded within 48 hours of entry into the residents’ individual record and resident register.  Resident clinical and allied health records are integrated.  Personal resident information is kept confidential and cannot be viewed by other residents or members of the public.  Resident files are protected from unauthorised access.  All entries in the progress notes are legible,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Potential residents have a needs assessment completed prior to entry.  The service has an admission information pack available for residents/families/whānau available prior to admission or on entry to the service.  The information pack includes all relevant aspects of the service.  Admission agreements reviewed were signed.  Admission agreements in the files reviewed align with contractual requirements.  Exclusions from the service are included in the admission agreement.  The clinical coordinator described the entry and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for safe medicine management that meet legislative requirements and guidelines.  Registered nurses and at times a medication competent carer administer medications.  They are assessed for competency on an annual basis and attend annual medication education.  All medication is checked on delivery against the medication chart.  Medications are stored safely.  The medication fridge is maintained within the acceptable temperature range.  All eye drops, and ointments were dated on opening.  There were two residents self-administering medication on the day of audit.  The resident had a locked drawer in their room and assessments and three-monthly reviews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electronic medication charts reviewed met legislative requirements.  Medications had been signed as administered in line with prescription charts.  Appropriate practice was demonstrated on the witnessed medication round.  The clinical coordinator demonstrated evidence of regular audits undertaken to ensure that registered nurses document the effectiveness of ‘as needed’ medication.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Riverleigh Rest Home.  The Food Control Plan was developed on 18 February 2019.  The chef is responsible for the operations of food services.  The kitchen team includes a relief cook and four kitchenhands.  All kitchen staff have completed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is a four weekly rotating summer and winter menu that has been approved by a dietitian.  A food services policies and procedures manual are in place.  All food is served directly from the kitchen to residents in the dining room or to their rooms as required.  A tray service is available if required by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cook maintains a folder of resident’s dietary requirements that include likes/dislikes.  Alternative choices are offered.  The cook is informed of dietary changes and any residents with weight loss.  Dietary needs are met including normal, pureed meals and finger foods.  Specialised utensils and lip plates are available as required.  The chef caters for dietary preferences including catering for a resident who likes curries.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attends resident meetings and at the meetings residents express their feedback on meals and food services.  Residents and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fridges and freezer temperatures are recorded daily on the recording sheet sighted.  Daily hot food temperatures are taken and recorded for each meal.  Holding temperatures are taken.  Fridge and freezer temperatures are recorded.  Dry foods in the pantry are dated and sealed.  Perishable foods in the chiller and refrigerators are date labelled and stored correctly.  The kitchen has a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The chemicals are stored safely.  Safety data sheets are available, and training provided as required.  Personal protective equipment is readily available, and staff were observed to be wearing hats, aprons and gloves.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entry is declined, the management staff at Riverleigh Rest Home communicate directly with the referring agencies and potential resident or family/whānau as appropriate. The reason for declining entry to the service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assessment, clinical risk assessments and care plan are completed on admission to the service.  This care plan is used for short-term admissions.  Long-term residents have risk assessments completed six-monthly with interRAI assessments undertaken as required, or earlier due to health changes.  InterRAI assessments reviewed, were completed within 21 days of admission and six-monthly thereafter.  Resident needs and support requirements were identified using the following sources: - discharge summaries, interRAI, risk assessments, medical notes and in consultation with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for residents reviewed were resident focused and individualised.  Support needs as assessed were included in the long-term care plans reviewed.  Short-term care plans are used for changes to health status and were sighted in resident files.  The residents on respite care had all identified needs included in the respite care plan and the YPD respite and long-term YPD residents had interventions documented in the care plan that were specific to their needs and encouraged participation in activities and community involvement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evidenced resident (as appropriate) and family/whānau involvement in the care plan process.  Relatives interviewed confirmed they were involved in the care planning process.  Resident files demonstrated service integration.  There was evidence of allied health care professionals involved in the care of the resident including occupational therapist, speech and language therapist, physiotherapist, podiatrist and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resident's condition alters, a registered nurse initiates a review and if required contacts a general practitioner or nurse specialist.  Files sampled demonstrated evidence on the resident’s electronic file and paper-based file.  Files reviewed demonstrated that families are notified of any changes to their relative’s health.  This was confirmed in interview.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assessment and treatment forms, ongoing evaluation form and evaluation notes were in place for residents with wounds.  Six wounds and three pressure injuries were documented on the wound log.  There was one unstageable pressure injury, a Section 31 had been filed for this and there was input from the wound specialist nurse.  The wounds included two cancerous lesions, two lesions and two skin tears.  All wounds and pressure injuries had regular photos documenting wound progress.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There is access to a continence nurse specialist by referral.  Residents are weighed monthly or more frequently if weight is of concern.  Monitoring forms are documented and completed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activities coordinator and activities officer who provide activities Monday to Friday.  The activities coordinator has been in the role for seven weeks.  During weekends caregivers provide some activities and once a month a non-denominational church service is held on a Sunday.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includes news and views, skittles, indoor walking, board games, cards, puzzles, housie and happy hour.  Entertainers are invited to the facility twice a month.  A pre-school regularly visits.  The activity plan includes a visit by the Mr Whippy van, and there are plans to involve canine friends.  There are two chickens, budgies and a rabbit at the facility.  Regular outings into the community occur, a taxi van is used, and the driver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One-on-one activities occur for residents who choose not to be involved in group activities.  Themes and events are celebrated.  The needs of younger residents are documented and addressed on a one-to-one basis, with involvement in physical activities including bowls, quoits and skittles.  It was noted by staff that there has been an increase in the involvement of younger people in the activities programme since the new activities’ coordinator has commenced.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on admission.  Individual activity plans were seen in long-term resident files.  The service receives feedback and suggestions for the programme through monthly resident meetings and direct feedback from residents and families.  Residents interviewed spoke positively about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were evaluated by a registered nurse within three weeks of admission and long-term care plans developed.  There was evidence in the files reviewed that long-term care plans were evaluated by a registered nurse six monthly or earlier for any health changes.  Care plans were updated to reflect evaluations and included progress towards meeting goals.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There are documented policies and procedures in relation to exit, transfer or transition of residents.  The residents and the families are kept informed of the referrals made by the service.  The registered nurses interviewed advised that in the event of a resident being transferred to hospital a yellow envelope is used which includes the contact details of next of kin; a transfer form; medication profile; and progress notes for the previous three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for the disposal of waste and hazardous material.  There is an incident system for investigating, recording and reporting all incidents.  The chemical supplies are kept in locked cupboards in service areas.  The contracted supplier provides the chemicals, safety data sheets, wall product charts and chemical safety training as required.  Approved containers are used for the safe disposal of sharps.  Personal protective equipment (gloves, aprons, goggles) are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23 September 2019.  The maintenance person undertakes preventative and reactive maintenance.  The annual maintenance plan includes monthly checks for hot water temperatures, call bells, resident equipment and safety checks.  Daily maintenance requests are addressed.  Electrical equipment has been tested and tagged.  Clinical equipment has been calibrated and/or serviced.  Contractors are available after hours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on two levels.  There are 33 resident rooms upstairs and 25 rooms downstairs.  There was evidence that recent renovations had been undertaken throughout the facility.  There are two double rooms downstairs and one upstairs and privacy curtains are in place for all double rooms.  There is a lift between floors.  The lift has a lift inspection undertaken monthly.  The facility has wide corridors with space for residents to safely mobilise using mobility aids.  There is safe access to the outdoor areas.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have ensuites, and there are also communal toilets and showers.  There are adequate numbers of communal bathrooms and toilets throughout the facility.  All bedrooms have a hand basin.  Appropriately secured and approved handrails are provided, and other equipment is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provide adequate personal space for residents and staff to move around within the rooms safely.  There is a mix of single and double rooms.  Double rooms have privacy screens.  There is storage space for mobility scooters and wheelchairs.  There are two double rooms shared by two married couples.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communal lounges and areas for residents throughout the facility, this includes a lounge and dining room downstairs, and a dining room, lounge and library upstairs.  This enables residents to participate in activities, dining, relaxing and for privacy.  These areas are easily accessed by residents including younger residents with a physical disability.  Furniture is appropriate to the setting and arranged in a manner which enables residents to mobilise freely.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for laundry services.  There are dedicated laundry and cleaning staff.  All laundry is completed on site.  The laundry and cleaning staff have completed chemical safety training.  The laundry has an entry and exit door.  Personal protective wear was readily available.  The cleaners’ trolleys are stored in a locked area when not in use and all cleaning products were clearly labelled.  The effectiveness of cleaning and laundry services is monitored by internal audits and the chemical provider provides ongoing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Civil defence supplies (torches/batteries) are readily available on each floor with civil defence equipment readily available.  The service meets the stored water requirements with at least 20 litres of water per day for 7 days and sufficient food stored on site with barbeques and gas bottles for alternative cooking.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Fire and emergency training is provided on staff orientation and ongoing as part of the annual training plan.  Six monthly fire drills are completed.  There is a first aider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communal bathrooms and living areas all have call bells linked to phones carried by staff, each resident also carries a personal call bell.  Security policies and procedures are documented and implemented by staff.  The buildings are secure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and communal rooms have external windows allowing adequate natural light.  Windows can be opened safely to allow adequate ventilation.  The facility is heated and kept at a comfortable temperature.  Residents and relatives interviewed confirmed the environment and the bedrooms are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the clinical coordinator (a registered nurse) who took on the role a year ago.  The infection control coordinator oversees infection control for the facility and staff meeting, heads of department meetings and RN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recently purchased a new IC system with policies from an external consultant.  Staff and RN meetings document that new policies have been discussed with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and staff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infection control coordinator has completed online IC training and is booked to attend the local DHB IC training next month.  The infection control committee is part of the monthly staff meeting as well as the RN meeting.  Infection control is a standing agenda item and both meetings document discussion of all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GPs, local laboratory, the infection control nurse specialist and public health departments at the local DHB for advice and an external infection control consultant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developed by an external consultant and are reviewed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Hand hygiene competencies are completed for staff.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Definitions of infections are in place appropriate to the complexity of service provided.  Infection control data is discussed at both the staff and RN meetings.  Trends are identified and preventative measures put in place.  Internal audits for infection control are included in the annual audit schedule.  There is close liaison with the GP who advises and provides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use of enablers and restraint.  On the day of the audit, there were six residents with enablers and one resident with a restraint.  All enablers and the restraint were bed rails.  Two resident files reviewed; one for restraint and one for enabler use, both documented an assessment, consent and regular reviews.  Restraint and challenging behaviour education are included in the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is the restraint coordinator with a defined job description.  The restraint group meet monthly as part of the staff meeting, the meeting documents review of restraint use along with the RN meeting.  Care staff receive education on safe restraint use at orientation and ongoing.  There is ongoing education including challenging behaviours.  Staff complete restraint competencies.  Staff carry out and record restraint monitoring including care delivered during the restraint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The RN in partnership, with the resident and their family/whānau undertakes assessments.  Restraint assessments are based on information in the care plan, resident/family discussions and observations.  Ongoing consultation with the resident and family/whānau are evident.  A restraint assessment form was completed for the one resident requiring restraint and one of the six enabler files reviewed.  Assessments identify the specific interventions or strategies to try (as appropriate) before implementing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Monitoring and observation are included in the restraint policy.  The restraint coordinator is responsible for ensuring all restraint documentation is completed.  Each episode of restraint is monitored at pre-determined intervals depending on individual risk to that resident.  Restraint use, risks and cares to be carried out during the restraint episode are included in the care plan.  There is an up-to-date restraint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evaluations occur three monthly as part of the ongoing review for residents on the restraint register, and as part of their care plan review.  Families and the GP are included as part of this review where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usage is monitored regularly.  The review of restraint use is discussed at the monthly staff and monthly RN meetings.  The facility is proactive in minimising restraint.  Internal restraint audits are completed.  Individual enabler and restraint use are also reviewed during three monthly GP reviews and six-monthly care plan evaluations.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4509"/>
        <w:gridCol w:w="68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rating that service provides an environment that encourages good practice is beyond the expected full attainment. The service has conducted a number of quality improvement projects where a review process has occurred, including analysis and reporting of findings has occurred. There is evidence of action taken based on findings that has made improvements to service provision. The projects include reviewing if the improvements have had positive impacts on resident safety or resident satisfaction. Example; the service introduced a project around falls prevention.  The fall preventions project has reduced falls from 29 falls in February to 16 falls for each of May and June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project around reducing falls as part of the 2019 quality plan.  The service has implemented a series of interventions with the staff, this has included; (i) Each month the service reviews all falls and identifies all frequent fallers.  Each frequent faller has an individual A4 sized poster posted in the staff room.  Each poster includes something related to the resident, such as culture or interests, and also falls information and the actions staff need to be aware of.  (ii) All falls are discussed in-depth at each of the monthly staff and RN meetings as well as strategies to minimise falls.  (iii) Additional falls training has been provided.  (iv) The service has purchased a new call bell system.  The call bell system includes; each resident having a personal call bell such as a necklace or wrist band.  The call bells have a fall alert on them.  Bedrooms for frequent fallers have a ‘room scanner’ which alerts the call bell system if the resident gets out of bed.  The call bell is linked to staff phones and monitors.  This has enabled quicker call bell answering.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fall preventions project has reduced falls from 29 falls in February to 16 falls for each of May and June 2019.  Service meetings document that falls and falls prevention strategies are reviewed and the plan evaluated monthly.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Riverleigh Care Limited - Riverleigh Residential Care</w:t>
    </w:r>
    <w:bookmarkEnd w:id="58"/>
    <w:r>
      <w:rPr>
        <w:rFonts w:cs="Arial"/>
        <w:sz w:val="16"/>
        <w:szCs w:val="20"/>
      </w:rPr>
      <w:tab/>
      <w:t xml:space="preserve">Date of Audit: </w:t>
    </w:r>
    <w:bookmarkStart w:id="59" w:name="AuditStartDate1"/>
    <w:r>
      <w:rPr>
        <w:rFonts w:cs="Arial"/>
        <w:sz w:val="16"/>
        <w:szCs w:val="20"/>
      </w:rPr>
      <w:t>24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