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Taupaki Gables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Taupaki Gables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July 2019</w:t>
      </w:r>
      <w:bookmarkEnd w:id="7"/>
      <w:r w:rsidRPr="009418D4">
        <w:rPr>
          <w:rFonts w:cs="Arial"/>
        </w:rPr>
        <w:tab/>
        <w:t xml:space="preserve">End date: </w:t>
      </w:r>
      <w:bookmarkStart w:id="8" w:name="AuditEndDate"/>
      <w:r w:rsidR="00A4268A">
        <w:rPr>
          <w:rFonts w:cs="Arial"/>
        </w:rPr>
        <w:t>23 July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Taupaki Gables is part of the Radius Residential Care Group.  The service cares for up to 60 residents requiring hospital (medical and geriatric) and rest home level care.  On the day of the audit there were 54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facility manager has been in the role for six years and has previous experience in aged care management.  She is supported by a clinical coordinator (enrolled nurse) and the Radius regional manager.  The experienced management team continues to provide strong and focused direction and positive outcomes for residents, families and staff.  Residents and family interviewed spoke positively about the service provided.  </w:t>
      </w:r>
    </w:p>
    <w:p w:rsidRPr="00A4268A">
      <w:pPr>
        <w:spacing w:before="240" w:line="276" w:lineRule="auto"/>
        <w:rPr>
          <w:rFonts w:eastAsia="Calibri"/>
        </w:rPr>
      </w:pPr>
      <w:r w:rsidRPr="00A4268A">
        <w:rPr>
          <w:rFonts w:eastAsia="Calibri"/>
        </w:rPr>
        <w:t xml:space="preserve">This audit has not identified any required improvements.  </w:t>
      </w:r>
    </w:p>
    <w:p w:rsidRPr="00A4268A">
      <w:pPr>
        <w:spacing w:before="240" w:line="276" w:lineRule="auto"/>
        <w:rPr>
          <w:rFonts w:eastAsia="Calibri"/>
        </w:rPr>
      </w:pPr>
      <w:r w:rsidRPr="00A4268A">
        <w:rPr>
          <w:rFonts w:eastAsia="Calibri"/>
        </w:rPr>
        <w:t xml:space="preserve">The service has continued to exceed the required standard around staff orientation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families identified that they are fully informed of changes in health status.  The rights of the resident and/or their family to make a complaint is understood, respected and upheld by the service.  </w:t>
      </w:r>
    </w:p>
    <w:p w:rsidRPr="00A4268A">
      <w:pPr>
        <w:spacing w:before="240" w:line="276" w:lineRule="auto"/>
        <w:rPr>
          <w:rFonts w:eastAsia="Calibri"/>
        </w:rPr>
      </w:pPr>
      <w:r w:rsidRPr="00A4268A">
        <w:rPr>
          <w:rFonts w:eastAsia="Calibri"/>
        </w:rPr>
        <w:t xml:space="preserve">Resident satisfaction surveys confirm that residents are satisfied or very satisfied with all aspects of communication.  Residents have the opportunity to participate in regular residents' meeting.  Residents and family members interviewed praised the service for excellent support provided.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meetings are held regularly, and residents and families are surveyed annually.  Health and safety policies, systems and processes are implemented to manage risk.  Incidents and accidents are reported.  An education and training programme has been implemented with a current plan in place.  Appropriate employment processes are adhered to.  There is a roster that provides sufficient and appropriate coverage for the effective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and evaluations are completed by registered nurses within the required timeframes.  Care plans and worklogs (developed on the electronic resident system) are written in a way that enables all staff to clearly follow their instructions.  The general practitioner reviews residents at least three 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and includes outings, entertainment and links with the community.  Each resident has an individual leisure care plan.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and cooked on site.  The menu is varied and appropriate and has been reviewed by a dietitian.  Individual and special dietary needs are catered for.  Alternative options are provided.  Residents interviewed responded favourably to the food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Internal and external areas are safe and easily accessible for residents and family members.  Residents can move freely around the facility.  </w:t>
      </w:r>
    </w:p>
    <w:p w:rsidRPr="00A4268A">
      <w:pPr>
        <w:spacing w:before="240" w:line="276" w:lineRule="auto"/>
        <w:rPr>
          <w:rFonts w:eastAsia="Calibri"/>
        </w:rPr>
      </w:pPr>
      <w:r w:rsidRPr="00A4268A">
        <w:rPr>
          <w:rFonts w:eastAsia="Calibri"/>
        </w:rPr>
        <w:t xml:space="preserve">The building, plant and equipment comply with legislation.  There is a preventative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alternative systems available so that staff can use restraint as a last resort strategy.  The restraint-free environment has been maintained and one resident was using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Taupaki has an infection control programme that complies with current best practice.  Infection control surveillance is established that is appropriate to the size and type of services.  There is a defined surveillance programme with monthly reporting by the infection control coordinator.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41"/>
        <w:gridCol w:w="1280"/>
        <w:gridCol w:w="103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 are in place.  The complaints procedure is provided to residents and their family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Twenty-three complaints were received in 2018 and 17 complaints for 2019 year to date.  Radius Taupaki enters all verbal concerns and suggestions from surveys and meetings onto the complaints register.  All complaint responses were completed within the contractual timeframes in accordance with guidelines set forth by the Health and Disability Commissioner.  A review of the complaints register evidences that the appropriate actions have been taken in the management and processing of these 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residents interviewed (four hospital and two rest home) stated they were welcomed on entry and were given time and explanation about the services and procedures.  A sample of ten incident reports reviewed, and associated resident files evidenced recording of family notification.  Four relatives interviewed (three hospital and one rest home) confirmed they are notified of any changes in their family member’s health status.  The facility manager, clinical coordinator (enrolled nurse), administrator, three registered nurses (RNs), one activities coordinator and nine healthcare assistants (mix of staff who work AM, PM and night shift) were able to identify the processes that are in place to support family being kept informed.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Residents (and their family/whānau) are provided with this information at the point of entry.  Families are encouraged to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Gables is part of the Radius Residential Care Group.  Taupaki Gables cares for up to 60 residents requiring hospital and rest home level care.  All rooms can be used for either hospital or rest home level care.  On the day of the audit, there were 14 rest home level residents and 40 hospital residents.  This included one resident receiving hospital level care on a long-term chronic health contract and one hospital resident on ACC funding.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has an overall business/strategic plan and Taupaki Gables has a facility quality and risk management programme in place for the current year.  The business plan includes business goals.  Comprehensive quarterly reviews are undertaken to report on achievements towards meeting business goals.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(RN) is well trained and experienced in health management and has been in the role for six years.  She is supported by a clinical coordinator – enrolled nurse (EN) with a relevant job description, an administrator and the Radius regional manager.  The clinical coordinator has been in the role for five years.  The facility manager has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Radius Taupaki Gables.  There is evidence that the quality system continues to be implemented in a comprehensive manner.  Interviews with three managers (facility manager, clinical coordinator and regional manager) and staff (five healthcare assistants, six RNs, one EN, one kitchen manager, one diversional therapist and one maintenance officer) confirmed that quality data is discussed at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managers, and staff reflected staff involvement in quality and risk management processes.  There are clear guidelines and templates for reporting.  The facility has implemented established processes to collect, analyse and evaluate data, which are utilised for service improvements.  Results are communicated to staff in meetings and on staff noticeboards.  Corrective action plans are implemented where results reflect opportunities for improvements.  Corrective actions are signed off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national level by the clinical management group with input from facility staff every two years.  New/updated policies are sent from head office.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Corrective actions are evaluated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meets current legislative requirements.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All new staff and contractors undergo a health and safety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  Falls reduction strategies include staff knowing the residents who are at risk, managing challenging behaviours effectively, adhering to residents’ routines and anticipating their needs, and intentional rounding with frequencies determined by the resident’s risks of falling.  All healthcare assistants utilise transfer belts to minimise resident harm from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comprehensive set of data relating to adverse, unplanned and untoward events in the electronic database.  This includes the collection of incident and accident information.  The reporting system is integrated into the quality and risk management programme.  Once incidents and accidents are reported, the immediate actions taken are documented in the incident database.  The incidents are then reviewed and investigated by the registered nurse.  If risks are identified these are processed as hazards using a hazard identification form.  Accidents and incidents are embedded into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A discussion with the facility manager and clinical coordinator confirmed their awareness of statutory requirements in relation to essential notification.  Eleven section 31 incident notification forms were completed in the past 12 months.  The notifications related to nine pressure injuries (affecting three residents) a lightning strike which destroyed the fire system motherboard and a registered nurse staffing shortfall.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a robust recruitment and staff selection process.  Relevant checks are completed to validate the individual’s qualifications, experience and veracity.  There are job descriptions available for all relevant positions that describe staff roles, responsibilities and accountabilities.  The practising certificates of health professionals are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(two RNs, one activities coordinator, one cook and two healthcare assistants).  Evidence of signed employment contracts, the radius pledge, a non-disclosure agreement receipt of an employee handbook, job descriptions, orientation, and training were documented on staff files.  Annual performance appraisals for staff were completed in files sampled.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Newly appointed staff complete an orientation that is specific to their job duties.  The orientation is over a 90-day period.  Interviews with care staff described the orientation programme that includes a period of up to two weeks supervision.  The service has a comprehensive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An annual in-service programme is provided with all compulsory sessions provided either annually of biannually.  Processes are in place to ensure all staff attend required education.  All staff complete a range of competency assessments.  Healthcare assistants have achieved an advanced qualification in aged care or are working towards their foundation qualification.  Two of eight registered nurses have completed their interRAI training.  All registered nurses have current first aid/CPR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Gables has focussed on human resource management processes to ensure they employ the best staff and equip their staff to provide an excellent service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Radius policy is in place for determining staffing levels and skills mix for safe service delivery.  Sufficient staff are rostered on to manage the care requirements of the residents.  The facility manager (RN) and clinical coordinator work Monday to Friday and provide rotating on call cover.  Registered nurses have sufficient time available to complete interRAI assessments and care planning evaluations within contractual timeframes.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dual-purpose wings (Kowhai and Magnolia) with 31 and 29 beds are rostered together with separate allocations with one RN per shift per area on morning and afternoon shifts and one RN covering both wings on night shift.  An additional RN is rostered on days when the doctor and nurse practitioner have rounds or when planned new admissions occur.  There are eight healthcare assistants on morning shift (seven full shift and one six-hour shift) and eight staff are rostered on afternoon shift with six HCAs finishing at 7 pm when the night HCA and RN come on and two HCAs working till 9 pm.  There are three healthcare assistants on night shift working from 7 pm to 7 am.  Caregivers interviewed reported that staffing is sufficient to meet the individual needs of residents, including encouraging independence,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They reported (and rosters reviewed confirmed) that sick or absent staff are replaced, with bureau staff being used if required.  Staff reported that if acuity increases an extra ‘floating’ staff member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interviewed advised that they felt there was sufficient staffing and that call bells are answered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Registered nurses and senior HCAs administer medications and have completed medication competencies and medication education.  Medication administration was observed, and administration practice was compliant against the administration policy.  Medications are delivered fortnightly in robotic rolls and these are checked by the RN against the medication chart.  There were no self-medicating residents.  All medications are stored safely.  The medication fridge is monitored daily and all temperatures were within the acceptable range.  The hospital bulk supply order is checked for expiry dates weekly.  The eye drops and creams/ointments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(paper-based) were reviewed (six hospital and four rest home) and met prescribing requirements.  The GP has reviewed the medications at least three monthly.  All medication charts had photo identification and allergy status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fully equipped kitchen and all food is cooked on site.  A food control plan is fully implemented and verified until November 2019.  There is a food-services manual in place to guide staff.  The kitchen manager advised that a resident nutritional profile is developed for each resident on admission; all nutritional profiles were available in the kitchen for all residents.  The nutritional profile is reviewed at least six-monthly as part of the care plan review and the kitchen is notified of any changes as they are identified.  The kitchen accommodates meals for residents with dislikes with alternative foods offered.  Special dietary requirements are accommodated including pureed meals, vegetarian, gluten free and diabetic desserts.  There is special equipment available for residents if required.  The kitchen manager works closely with the RNs on duty.  Kitchen staff are aware of specific resident needs including (but not limited to) food allergies, diabetic diets.   </w:t>
            </w:r>
          </w:p>
          <w:p w:rsidR="00EB7645" w:rsidRPr="00BE00C7" w:rsidP="00BE00C7">
            <w:pPr>
              <w:pStyle w:val="OutcomeDescription"/>
              <w:spacing w:before="120" w:after="120"/>
              <w:rPr>
                <w:rFonts w:cs="Arial"/>
                <w:b w:val="0"/>
                <w:lang w:eastAsia="en-NZ"/>
              </w:rPr>
            </w:pPr>
            <w:r w:rsidRPr="00BE00C7">
              <w:rPr>
                <w:rFonts w:cs="Arial"/>
                <w:b w:val="0"/>
                <w:lang w:eastAsia="en-NZ"/>
              </w:rPr>
              <w:t>All kitchen staff have completed food safety training.  The kitchen follows a four-weekly rotating seasonal menu, which was reviewed annually by a dietitian (at organisational level).  Refrigerators, freezers and cooked food temperatures are monitored and recorded.  All food is stored appropriately.  Food is delivered via bain marie to the main dining room and via a hot box to hospital dining room.  Residents and the family members interviewed were very happy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HCAs follow the detailed and regularly updated care plans and report progress against the care requirements each shift.  If a resident’s health status changes the RN initiates a GP or nurse specialist review.  Relatives interviewed stated they are contacted for any changes in the resident’s health.  Conversations with relatives is documented within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including dressings.  Wound assessment and care plans, wound review plans and evaluation notes were in place for three residents with wounds.  Photographs identified size and healing progress.  There was one resident with a non-facility acquired pressure injury.  The wound nurse specialist is involved and RNs (interviewed) have access to specialist nursing wound care management advice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Specialist continence advice is available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completed and reviewed, for example turning charts, food and fluid charts, blood pressure, weight charts, behaviour charts, blood sugar levels and neurological observations.  Short-term care plans sighted had been reviewed regularly and either resolved or if ongoing updated on the relevant care plan.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registered nurses and HCAs demonstrated an understanding of the individualised needs of residents.  Care plan interventions were comprehensive and appropriate to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activity coordinators (including one who has commenced DT training) employed to implement the activity programme across the services.  The rest home/hospital programme is integrated and occurs in the several lounges, library area and dining rooms Monday to Friday from 8 am to 3 pm.  An activity assistant works six hours a week working flexible hours including weekends to suit the scheduled events and activities.  All activity coordinators have a current first aid certificate.  The activity programme is developed a month in advance and a calendar is displayed throughout the facility.  There is a ‘Taupaki Tattler’ that goes out monthly to residents and families advertising the upcoming events.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programme are integrated and includes newspaper discussion and current events, exercise groups, music, word games, bowls, garden groups, movement to music, movies and reminiscing.  One-on-one time is spent with residents who choose not to or are unable to participate in group activities.  The activities programme runs inclusive cruise event themes such as the love boat or cruising around Pacific, Mediterranean or Asia.  All residents and staff are involved in these events including creating visual displays, decorations, meals and activities based on the cruise theme.  Small group activities were provided for higher acuity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Community visitors include weekly baby buddy’s playgroup visits, church services, entertainers and pet therapy.  There are regular van rides and outings to community groups such as museum visits, outings to local beaches, shopping and cafés.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files reviewed have a comprehensive individual recreational assessment and activity plan on e-case that is evaluated at least six monthly.  Residents and families interviewed commented positively on the activity programme.  Residents and families interviewed stated they enjoy the variety and excitement of activities offered and they have input into planning of the programme via daily feedback, annual resident survey and at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interim care plans are evaluated by the registered nurses within three weeks of admission.  In the electronic files reviewed the long-term care plan was evaluated at least six-monthly for residents who had been at the service six months.  There is at least a three-monthly review by the GP.  Written evaluations identify if the resident/relative goals are met or unmet.  There were case conference multidisciplinary notes on the electronic eCase system that evidenced relative/resident (as appropriate) involvement in care plan evaluations.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single storey building has a current building warrant of fitness which expires June 2020.  There is a full-time maintenance person who actions repairs and maintenance requests through the e-case maintenance system.  Monthly planned maintenance is completed as per the planned maintenance schedule and includes monthly hot water temperatures, internal and external building maintenance and clinical equipment checks (trolleys, walking frames and wheelchairs).  Testing and tagging of electrical equipment have been completed as required.  There are essential contractors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for residents to mobilise safely using mobility aids.  The external areas and courtyards are well landscaped.  Residents have access to safely designed external areas that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had sufficient equipment (including personal equipment to support individual needs) to safely deliver the cares as outlined in the resident care plans for all people receiving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of infection data assists in evaluating compliance with infection control practices.  Infections are collated monthly, including urinary tract, upper respiratory and skin.  This data is reported to the facility meetings.  Monthly data was seen in staff areas.  The service submits data monthly to Radius head office where benchmarking is completed.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regarded as a last intervention, when all other interventions or calming/defusing strategies, have not worked.  There is a regional restraint group at the organisational level and a restraint group at the facility where restraint is reviewed. Staff have received training around restraint/enablers and managing behaviours that challenge.  There were no residents using restraints or enablers.  The facility has been restraint free for over seven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509"/>
        <w:gridCol w:w="92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Taupaki introduced a number of initiatives in 2016 improving individual orientation packages.  The service has continued to develop this process by further improving recruitment practises.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2018, the Taupaki management team identified an opportunity to improve recruitment practises to attract the right people.  The interview form was further developed to focus questions on relevant areas.  The reference verification form was also updated and specifically checked on personality traits, strengths and weaknesses.  Recruitment of the right staff has become more difficult due to nursing shortages and also Taupaki’s country location.  The team have developed a close working relationship with other agencies and extended advertising to supermarkets and other public places.  Taupaki is holding an expo at the local WINZ office to attract staff.  In order to retain staff, Taupaki has increased the orientation programme for registered nurses to two weeks and for healthcare assistants to between one to two weeks as needed.  The service has promoted the use of a phone/tablet-based application to assist staff with English as a second language.  A recent team building exercise has been introduced using teams and recognition of staff action which go beyond the normal expected.  The Hogwarts challenge is a new initiative which is already having a positive effect on staff morale and aptitude to further improve resident care.  Taupaki has a very low staff turnover as a result of the efforts with recruitment and orientation.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survey results demonstrated a high level of satisfaction with staff from all areas with specific comments around management, and care staff.  On interview staff were positive regarding ongoing management initiatives such as the Hogworts challenge.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Taupaki is continuing to provide an activities programme involving resident driven activities.  The team continues to encourage residents, family and staff involvement in identifying and implementing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previously introduced cognitive stimulation therapy (CST) as a separate group project.  This no longer operates as a standalone group and the principles of CST have been incorporated into daily activities.  Residents and families continue to be involved in the planning and implementation of activities.</w:t>
            </w:r>
          </w:p>
          <w:p w:rsidR="00EB7645" w:rsidRPr="00BE00C7" w:rsidP="00BE00C7">
            <w:pPr>
              <w:pStyle w:val="OutcomeDescription"/>
              <w:spacing w:before="120" w:after="120"/>
              <w:rPr>
                <w:rFonts w:cs="Arial"/>
                <w:b w:val="0"/>
                <w:lang w:eastAsia="en-NZ"/>
              </w:rPr>
            </w:pPr>
            <w:r w:rsidRPr="00BE00C7">
              <w:rPr>
                <w:rFonts w:cs="Arial"/>
                <w:b w:val="0"/>
                <w:lang w:eastAsia="en-NZ"/>
              </w:rPr>
              <w:t>The shared community station where people drop off unwanted items and get picked up and replaced with others has expanded.  The community station is advertised on the baby buddies Facebook page.  The garden group has been growing passionfruit and picking grapefruit from trees to raise money for the Fred Hollows foundation.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Theme days based on holidays at home continue to be a feature of the activities programme and involve residents, families and visitors in planning and implementing theme.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indicated all residents were happy with the activities programme.  Positive comments around community involvement and variety of activities offered were included in survey comments.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Taupaki Gables</w:t>
    </w:r>
    <w:bookmarkEnd w:id="58"/>
    <w:r>
      <w:rPr>
        <w:rFonts w:cs="Arial"/>
        <w:sz w:val="16"/>
        <w:szCs w:val="20"/>
      </w:rPr>
      <w:tab/>
      <w:t xml:space="preserve">Date of Audit: </w:t>
    </w:r>
    <w:bookmarkStart w:id="59" w:name="AuditStartDate1"/>
    <w:r>
      <w:rPr>
        <w:rFonts w:cs="Arial"/>
        <w:sz w:val="16"/>
        <w:szCs w:val="20"/>
      </w:rPr>
      <w:t>22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