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Palmerston Manor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Palmerston Manor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23 July 2019</w:t>
      </w:r>
      <w:bookmarkEnd w:id="7"/>
      <w:r w:rsidRPr="009418D4">
        <w:rPr>
          <w:rFonts w:cs="Arial"/>
        </w:rPr>
        <w:tab/>
        <w:t xml:space="preserve">End date: </w:t>
      </w:r>
      <w:bookmarkStart w:id="8" w:name="AuditEndDate"/>
      <w:r w:rsidR="00A4268A">
        <w:rPr>
          <w:rFonts w:cs="Arial"/>
        </w:rPr>
        <w:t>24 July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Palmerston Manor Lifecare provides rest home and hospital level care for up to 48 residents. The service is operated by Heritage Lifecare Limited and managed by a care home manager and a clinical services manager. Residents and families spoke positively about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and a general practitioner.</w:t>
      </w:r>
    </w:p>
    <w:p w:rsidRPr="00A4268A">
      <w:pPr>
        <w:spacing w:before="240" w:line="276" w:lineRule="auto"/>
        <w:rPr>
          <w:rFonts w:eastAsia="Calibri"/>
        </w:rPr>
      </w:pPr>
      <w:r w:rsidRPr="00A4268A">
        <w:rPr>
          <w:rFonts w:eastAsia="Calibri"/>
        </w:rPr>
        <w:t>This audit has resulted in a continuous improvement rating in relation to staff training. There were no areas identified as requiring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of Palmerston Manor Lifecare. Opportunities to discuss the Code, consent and availability of advocacy services is provided at the time of admission and thereafter as required.  </w:t>
      </w:r>
    </w:p>
    <w:p w:rsidRPr="00A4268A">
      <w:pPr>
        <w:spacing w:before="240" w:line="276" w:lineRule="auto"/>
        <w:rPr>
          <w:rFonts w:eastAsia="Calibri"/>
        </w:rPr>
      </w:pPr>
      <w:r w:rsidRPr="00A4268A">
        <w:rPr>
          <w:rFonts w:eastAsia="Calibri"/>
        </w:rPr>
        <w:t xml:space="preserve">Palmerston Manor Lifecare provides services that respect the choices, personal privacy, independence, individual needs and dignity of residents and staff were noted to be interacting with residents in a respectful manner. </w:t>
      </w:r>
    </w:p>
    <w:p w:rsidRPr="00A4268A">
      <w:pPr>
        <w:spacing w:before="240" w:line="276" w:lineRule="auto"/>
        <w:rPr>
          <w:rFonts w:eastAsia="Calibri"/>
        </w:rPr>
      </w:pPr>
      <w:r w:rsidRPr="00A4268A">
        <w:rPr>
          <w:rFonts w:eastAsia="Calibri"/>
        </w:rPr>
        <w:t>Care for residents who identify as Maori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Pr="00A4268A">
      <w:pPr>
        <w:spacing w:before="240" w:line="276" w:lineRule="auto"/>
        <w:rPr>
          <w:rFonts w:eastAsia="Calibri"/>
        </w:rPr>
      </w:pPr>
      <w:r w:rsidRPr="00A4268A">
        <w:rPr>
          <w:rFonts w:eastAsia="Calibri"/>
        </w:rPr>
        <w:t>The service has linkages with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Palmerston Manor Lifecare works closely with the local Needs Assessment and Service Co-ordination Service, to ensure access to the facility is appropriate and efficiently managed. When a vacancy occurs, relevant information is provided to the potential resident/family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The care plans of residents were individualised, based on a comprehensive and integrated range of clinical information. Short term care plans are developed to manage any new problems that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overseen by an activities officer who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and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Two enablers and two restraints were in use at the time of audit.  A comprehensive assessment, approval and monitoring process with regular reviews occurs.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appropriately trained infection control nurse, aims to prevent and manage infections. Specialist infection prevention and control advice is accessed from the district health board.  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02"/>
        <w:gridCol w:w="1280"/>
        <w:gridCol w:w="915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Palmerston Manor Lifecare has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understand the principles and practice of informed consent. Informed consent policies provide relevant guidance to staff. Clinical files reviewed show that informed consent has been gained appropriately using the organisation’s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planning, establishing and documenting enduring power of attorney requirements and processes for residents unable to consent is defined and documented where relevant in the resident’s file. Staff demonstrated their understanding by being able to explain situations when this may occur.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related to the Advocacy Service were also displayed in the facility, and additional brochures were available at reception.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aware of how to access the Advocacy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two complaints have been received over the past year and that actions taken, through to an agreed resolution, are documented and completed within the timeframes. Action plans showed any required follow up and improvements have been made where possible. The Care Home Manager (CHM) is responsible for complaints management and follow up. 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reported being made aware of the Code and the Nationwide Health and Disability Advocacy Service (Advocacy Service) as part of the admission information provided and discussion with staff. The Code is displayed in common areas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 services they receive from Palmerston Manor Lifecare is provided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ensuring resident information is held securely and privately, exchanging verbal information and during discussions with families and the general practitioner (GP) or nurse practitioner (NP).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regular outings to the local shops or areas of interest and participation in clubs of their choosing. Each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four residents in Palmerston Manor Lifecare at the time of audit who identify as Māori. Interviews verified staff can support residents who identify as Māori to integrate their cultural values and beliefs. The principles of the Treaty of Waitangi are incorporated into day to day practice, as is the importance of whānau to Māori residents. There is a current Māori health plan developed with input from cultural advisers. Additional assistance is available from a local Maori health provider if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of Palmerston Manor Lifecare verified that they were consulted on their individual culture, values and beliefs and that staff respect these. Resident’s personal preferences required interventions and special needs were included in all care plans reviewed, for example, food likes and dislikes and attention to preferences around activities of daily living. A resident satisfaction questionnaire includes evaluation of how well residents’ cultural needs are met, and this supported that individual needs were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residents were free from any type of discrimination, harassment or exploitation and felt safe. A nurse practitioner (NP) interviewed also expressed satisfaction with the standard of services provided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their individual employment contract.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 based policies, input from external specialist services and allied health professionals, for example, the hospice/palliative care team, diabetes nurse specialist, wound care specialist, community dieticians, services for older people, psycho-geriatrician and mental health services for older persons, and education of staff. The NP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have regular monthly in-services training and daily ‘toolbox’ training sessions at handover. Caregivers are supported to access training in care of the older adult. The clinical services manager (CSM) is an on-site assessor and offers care staff training support and guidance as needed. RNs from Palmerston Manor Lifecare have access to on-line learning hubs ensuring practice is guided by best practice guidelines.</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a commitment to ongoing improvement in the care provided, evidenced by an ongoing initiative aimed at a reduction in the number of falls, and a commitment to improving communication between staff and family members (refer criterion 1.2.7).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of Palmerston Manor Lifecare and their family members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a high number of multi-cultural staff members or the Mid Central District Health Board (MDHB). Staff knew how to access interpreter services. Staff reported interpreter services were rarely required due to all present residents being able to speak English.</w:t>
            </w:r>
          </w:p>
          <w:p w:rsidR="00EB7645" w:rsidRPr="00BE00C7" w:rsidP="00BE00C7">
            <w:pPr>
              <w:pStyle w:val="OutcomeDescription"/>
              <w:spacing w:before="120" w:after="120"/>
              <w:rPr>
                <w:rFonts w:cs="Arial"/>
                <w:b w:val="0"/>
                <w:lang w:eastAsia="en-NZ"/>
              </w:rPr>
            </w:pPr>
            <w:r w:rsidRPr="00BE00C7">
              <w:rPr>
                <w:rFonts w:cs="Arial"/>
                <w:b w:val="0"/>
                <w:lang w:eastAsia="en-NZ"/>
              </w:rPr>
              <w:t>A resident/family and staff satisfaction survey in 2018 identified several problems with communication between staff and between staff and families. An initiative was implemented to address the concerns raised, and these concerns have been addressed (refer criterion 1.2.7).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Palmerston Manor Lifecare business plan, which is reviewed annually, outlines the purpose, values, scope, direction and goals of the organisation and Palmerston Manor Lifecare. The documents describe annual goals and longer-term objectives and the associated operational plans. A sample of monthly reports to the support office showed adequate information to monitor performance is reported including staffing, occupancy, budget performance,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Care Home Manager (CHM) who holds relevant qualifications and has been in the role since January 2019. Responsibilities and accountabilities are defined in a job description and individual employment agreement. The CHM confirms knowledge of the sector, regulatory and reporting requirements and maintains currency through annual management and local sector meetings.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Ministry of Health (MOH) for young people with a disability (YPD) and Mid Central District Health Board (MCDHB) for respite, complex medical conditions, hospital level care, rest home care, long term chronic conditions (LTCC). Forty-four residents were receiving services on the days of audit; 21 rest home, 23 hospital and four YPD (two in rest home and two in hospital). Two hospital residents were under the LTCC contract. There were no respite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CHM is absent, the Clinical Services Manager (CSM) carries out all the required duties under delegated authority and with support from Heritage Lifecare Limited support office. During absences of key clinical staff, the clinical management is overseen by a registered nurse (RN) who is experienced in the sector and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 regular patient satisfaction survey, monitoring of outcomes, clinical incidents including infections and restraint minimisation.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support office, registered nurse, quality and staff meetings. Staff reported their involvement in quality and risk management activities through participation in audit activities. Relevant corrective actions are developed and implemented to address any shortfalls. </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satisfaction surveys are completed annually. The most recent survey has not yet been collated as it was sent to residents and families at the end of May 2019. The 2018 survey was undertaken by the previous owners and the service does not have access to these results.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CHM described the processes for the identification, monitoring, review and reporting of risks and development of mitigation strategies. She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 investigated, action plans developed and actions followed-up in a timely manner.  Adverse event data is collated and a graph developed and sent to the facility from the support office. The CHM and CSM will analyse the data and implement strategies to reduce risks.</w:t>
            </w:r>
          </w:p>
          <w:p w:rsidR="00EB7645" w:rsidRPr="00BE00C7" w:rsidP="00BE00C7">
            <w:pPr>
              <w:pStyle w:val="OutcomeDescription"/>
              <w:spacing w:before="120" w:after="120"/>
              <w:rPr>
                <w:rFonts w:cs="Arial"/>
                <w:b w:val="0"/>
                <w:lang w:eastAsia="en-NZ"/>
              </w:rPr>
            </w:pPr>
            <w:r w:rsidRPr="00BE00C7">
              <w:rPr>
                <w:rFonts w:cs="Arial"/>
                <w:b w:val="0"/>
                <w:lang w:eastAsia="en-NZ"/>
              </w:rPr>
              <w:t>The CHM and CSM described essential notification reporting requirements, including for pressure injuries.  They advised there have been seven notifications of significant events made to the Ministry of Health,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This includes ongoing support from a senior staff member. Staff records reviewed showed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A staff member is the internal assessor for the programme.  Staff working in the dementia care area have either completed or are enrolled in the required education. There are sufficient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four weeks of rosters confirmed adequate staff cover has been provided, with staff replaced in any unplanned absence.  At least one staff member on duty has a current first aid certificate and there is 24//7 RN coverage in the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All necessary demographic, personal, clinical and health information was fully completed in the residents’ files sampled for review. Clinical notes at Palmerston Manor Lifecare were current and integrated with GP/NP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Electronic medication records are stored in a secure portal.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Palmerston Manor Lifecare when their need for services provided by Palmerston Manor Lifecare has been assessed and confirmed by the local Needs Assessment and Service Coordination (NASC) Service. Prospective residents and/or their families are encouraged to visit the facility prior to admission and meet with the care home manager (CHM) or the clinical services manager (CSM). They are also provided with written information about the service and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MDHB ‘pink envelope’ system to facilitate transfer of residents to and from acute care services. There is open communication between all services, the resident and the family. At the time of transition between services, appropriate information, including medication records and the care plan is provided for the ongoing management of the resident. All referrals are documented in the progress notes. An example reviewed of a patient transferred to the local acute care facility on the day of audit demonstrated transfer was managed in a planned and co-ordinated manner. The resident reported being kept well informed during the transfer to the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is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two residents who were self-administering medications at the time of audit. Appropriate processes were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CSM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chef on weekdays and a cook during the weekend and is in line with recognised nutritional guidelines for older people. The menu follows summer and winter patterns was reviewed by a qualified dietitian in June 2019.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food control plan is in place and registered with the Palmerston North City Council. A verification audit of the food control plan was undertaken 21 December 2018. Three areas of noncompliance have been addressed. The newly registered food control plan expires 14 September 2019.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and resident meeting minutes. Any areas of dissatisfaction were promptly responded to. Residents were seen to be given time to eat their meal in an unhurried fashion and those requiring assistance had this provided. There are enough staff on duty in the dining rooms at mealtimes to ensure appropriate assistance is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with the CHM and CSM.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 admission, residents of Palmerston Manor Lifecare are initially assessed using a range of nursing assessment tools, such as pain scale, falls risk, skin integrity, nutritional screening and depression scale, to identify any deficits and to inform initial care planning. Within three weeks of admission residents (with the exception of YPD residents) are assessed using the interRAI assessment tool, to inform long term care planning. Reassessment using the interRAI assessment tool, in conjunction with additional assessment data, occurs every six months or more frequently as residents changing conditions require.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Ongoing assessments for YPD residents are carried out six monthly or more frequently, as residents’ conditions change, using a range of clinical assessment tools.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documentation and observation verifies the RNs are familiar with requirement for reassessment of a resident using the interRAI assessment tool when a resident has increasing or changing need levels. Evidence is sighted of two residents having their interRAI assessment updated to reflect a requirement for a change in need level. Behaviour assessments are in place for residents with episodes of behaviours that challenge, as is behaviour monitoring. </w:t>
              <w:br/>
              <w:br/>
              <w:t>Apart from the one YPD resident, all residents reviewed have current interRAI assessments completed by seven trained interRAI assessors on site. InterRAI assessments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reflected the support needs of residents, and the outcomes of the integrated assessment process and other relevant clinical information. In particular, the needs identified by the interRAI assessments are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was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care provided to residents was consistent with their needs, goals and the plan of care. The attention to meeting a diverse range of resident’s individualised needs was evident in all areas of service provision. The NP and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 relieving recreation officer, while a new recreation co-ordinator is recruited.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monthly activities programme sighted matched the skills, likes, dislikes and interests identified in assessment data. Activities reflected residents’ goals, ordinary patterns of life and include normal community activities. Individual, group activities and regular events are offered. Examples included a fitness programme, visiting entertainers, a knitting group, walking group, visits by the local high school students, van outings, quiz sessions and daily news updates.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discussed at the minuted residents’ meetings and indicated residents’ input is sought and responded to.  The most recent, 2018 satisfaction survey demonstrates resident and families satisfaction and that information is used to improve the range of activities offered. Residents interviewed confirmed they find the programme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Examples of short-term care plans were consistently reviewed for infections, pain, and weight loss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 may choose to use another medical practitioner. If the need for other non-urgent services are indicated or requested, the GP/NP or RN sends a referral to seek specialist input. Copies of referrals were sighted in residents’ files, including to older persons’ mental health services. Referrals are followed up on a regular basis by the RN or the GP/NP.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There is a designated chemical handler who has completed the required training.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19 June 2020) was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was current as confirmed in documentation reviewed, interviews with maintenance personnel and observation of the environment.  The environment was hazard free, residents were safe and independence was promoted.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were safely maintained and are appropriate to the resident groups and setting.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confirmed they know the processes they should follow if any repairs or maintenance is required, any requests are appropriately actioned and that they were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two rooms that share an ensuite. Appropriately secured and approved handrails are provided in the toilet/shower areas, and other equipment/accessories are available to promote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 accommodation.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spacious and enable easy access for residents and staff.  Residents can access areas for privacy, if required and for those of a younger age group.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Care and laundry staff demonstrated a sound knowledge of the laundry processes, dirty/clean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who have received appropriate training, as confirmed in interview of cleaning staff and training records. Chemicals were stored in a lockable cupboard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 and feedback from residents and family.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This plan meets the Ministry of Civil Defence and Emergency Management recommendations for the region. </w:t>
            </w:r>
          </w:p>
          <w:p w:rsidR="00EB7645" w:rsidRPr="00BE00C7" w:rsidP="00BE00C7">
            <w:pPr>
              <w:pStyle w:val="OutcomeDescription"/>
              <w:spacing w:before="120" w:after="120"/>
              <w:rPr>
                <w:rFonts w:cs="Arial"/>
                <w:b w:val="0"/>
                <w:lang w:eastAsia="en-NZ"/>
              </w:rPr>
            </w:pPr>
            <w:r w:rsidRPr="00BE00C7">
              <w:rPr>
                <w:rFonts w:cs="Arial"/>
                <w:b w:val="0"/>
                <w:lang w:eastAsia="en-NZ"/>
              </w:rPr>
              <w:t>The current fire evacuation plan was approved by the New Zealand Fire Service on the 07 April 2006.  A trial evacuation takes place six-monthly with a copy sent to the New Zealand Fire Service, the most recent being on 15 March 2019.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the full occupancy of residents. Water storage tanks are located around the complex, and there is a generator available for hire.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and some have doors that open onto outside garden. Heating is provided by electric panel heaters in residents’ rooms and heat pumps in communal areas.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Palmerston Manor Lifecare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at organisational level with input from the CSM.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An RN is the designated infection control nurse coordinator, whose role and responsibilities are defined in a job description. Infection control matters, including surveillance results, are reported monthly to the CSM and tabled at the quality/risk meeting. Infection control statistics are entered in the organisation’s electronic database and benchmarked within the organisation’s other facilities. The organisation’s national quality manager is informed of any IPC concern.</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nurse (ICN) has appropriate skills, knowledge and qualifications for the role and has been in this role for a month. The ICN has undertaken post graduate training in infection prevention and control and attended relevant study days, as verified in training records sighted. Well-established local networks with the infection control team at the DHB are available. The ICN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ICN and CSM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 the requirements of the IPC standard and current accepted good practice. Policies were reviewed within the last year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was appropriate to the setting.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Priorities for staff education are outlined in the infection control programme annual plan. Interviews, observation and documentation verified staff have received education in IPC at orientation and ongoing education sessions. Education is provided by the ICN. Content of the training was documented and evaluated to ensure it was relevant, current and understood. A record of attendance was maintained. When an infection outbreak or an increase in infection incidence has occurred, there is evidence that additional staff education has been provided in response. An example of this occurred when there was a recent gastrointestinal outbreak.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skin infections.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ICN and CSM review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electronic infection database. Graphs are produced that identify trends for the current year, and comparisons against previous years. Data is benchmarked internally within the group’s other aged care providers. </w:t>
            </w:r>
          </w:p>
          <w:p w:rsidR="00EB7645" w:rsidRPr="00BE00C7" w:rsidP="00BE00C7">
            <w:pPr>
              <w:pStyle w:val="OutcomeDescription"/>
              <w:spacing w:before="120" w:after="120"/>
              <w:rPr>
                <w:rFonts w:cs="Arial"/>
                <w:b w:val="0"/>
                <w:lang w:eastAsia="en-NZ"/>
              </w:rPr>
            </w:pPr>
            <w:r w:rsidRPr="00BE00C7">
              <w:rPr>
                <w:rFonts w:cs="Arial"/>
                <w:b w:val="0"/>
                <w:lang w:eastAsia="en-NZ"/>
              </w:rPr>
              <w:t>A gastrointestinal outbreak occurred at Palmerston Manor Lifecare in January 2019. Only one of the twelve residents affected were positively identified as having Norovirus. The outbreak was managed as per outbreak management guidelines, and Public Health was notified.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two residents were using restraints and two residents were using enablers, which were the least restrictive and used voluntarily at their request.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restraint approval group minutes, files reviewed, and from interview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group made up of the CHM, CSM and RN’s, are responsible for the approval of the use of restraints and the restraint processes. It was evident from review of restraint approval group meeting minutes, residents’ files and interviews with the coordinator that there are clear lines of accountability that all restraints have been approved, and the overall use of restraints is being monitored and analysed. </w:t>
            </w:r>
          </w:p>
          <w:p w:rsidR="00EB7645" w:rsidRPr="00BE00C7" w:rsidP="00BE00C7">
            <w:pPr>
              <w:pStyle w:val="OutcomeDescription"/>
              <w:spacing w:before="120" w:after="120"/>
              <w:rPr>
                <w:rFonts w:cs="Arial"/>
                <w:b w:val="0"/>
                <w:lang w:eastAsia="en-NZ"/>
              </w:rPr>
            </w:pPr>
            <w:r w:rsidRPr="00BE00C7">
              <w:rPr>
                <w:rFonts w:cs="Arial"/>
                <w:b w:val="0"/>
                <w:lang w:eastAsia="en-NZ"/>
              </w:rPr>
              <w:t>Evidence of family/whānau/EPOA involvement in the decision making was on file in each case. Use of a restraint or an enabler is part of the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 were documented and included all requirements of the Standard. The RN undertakes the initial assessment with the restraint coordinator’s involvement, and input from the resident’s family/whānau/EPOA. The restraint coordinator described the documented process. Families confirmed their involvement. The general practitioner is involved in the final decision on the safety of the use of the restraint. The assessment process identified the underlying cause, history of restraint use, cultural considerations, alternatives and associated risks. The desired outcome was to ensure the resident’s safety and security. Completed assessments were sighted in the records of residents who were using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restraints is actively minimised and the restraint coordinator described how alternatives to restraints are discussed with staff and family members, for example, the use of sensor mats, low beds and landing mats.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restraints are in use, frequent monitoring occurs to ensure the resident remains safe. Records of monitoring had the necessary details. Access to advocacy is provided if requested and all processes ensure dignity and privacy are maintained and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maintained, updated every month and reviewed at each restraint approval group meeting. The register was reviewed and contained all residents currently using a restraint and sufficient information to provide an auditable record. </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such as positively supporting people with challenging behaviours. Staff spoken to understood the use of restraint is to be minimised and how to maintain safety when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files showed that the individual use of restraints is reviewed and evaluated during care plan and interRAI reviews, six monthly restraint evaluations and at the restraint approval group meetings. Families interviewed confirmed their involvement in the evaluation process and their satisfaction with the restraint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covers all requirements of the Standard, including future options to eliminate use, the impact and outcomes achieved, if the policy and procedure was followed and documentation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Heritage Lifecare Limited restraint committee undertakes a six-monthly review of all restraint use in the organisation which includes all the requirements of this Standard. Six monthly restraint meetings and reports are completed and individual use of restraint use is reported to each facility.  Minutes of meeting reviewed confirmed this includes analysis and evaluation of the amount and type of restraint use in each facility, whether all alternatives to restraint have been considered, the effectiveness of the restraint in use, the competency of staff and the appropriateness of restraint / enabler education and feedback from the doctor, staff and families. A six-monthly internal audit that is carried out also informs these meetings. Any changes to policies, guidelines, education and processes are implemented if indicated. Data reviewed, minutes and interviews with the support office representative confirmed that the use of restraint has been reduced over the past year.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20"/>
        <w:gridCol w:w="1280"/>
        <w:gridCol w:w="6039"/>
        <w:gridCol w:w="45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strong attendance and commitment to education. Training is provided monthly and is repeated to ensure all staff attend. There is generally 100% attendance at core training sessions over a twelve-month period. However, there were still complaints relating to poor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2018, the service received feedback / complaints from family members and residents regarding poor practice which related to cultural differences of staff affecting the outcomes for residents. As a result, an external educator was engaged to enhance and improve communication and cultural diversity in the workplace. The programme included 10 sessions covering 10 weeks for staff to explore different cultures, ensuring staff from each culture were involved.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Feedback and evaluation following the programme was positive. Residents and family spoke unanimously of improved care for residents, improved communication, staff have a greater understanding of their needs and there had been a positive culture change within the facility.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received feedback in 2018 relating to poor care underlined by cultural differences of staff. An educator was engaged, and a training programme implemented to improve communication and cultural diversity in the workplace. Evaluation following the programme confirmed improved resident care and a positive cultural change in the facility.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Palmerston Manor Lifecare</w:t>
    </w:r>
    <w:bookmarkEnd w:id="58"/>
    <w:r>
      <w:rPr>
        <w:rFonts w:cs="Arial"/>
        <w:sz w:val="16"/>
        <w:szCs w:val="20"/>
      </w:rPr>
      <w:tab/>
      <w:t xml:space="preserve">Date of Audit: </w:t>
    </w:r>
    <w:bookmarkStart w:id="59" w:name="AuditStartDate1"/>
    <w:r>
      <w:rPr>
        <w:rFonts w:cs="Arial"/>
        <w:sz w:val="16"/>
        <w:szCs w:val="20"/>
      </w:rPr>
      <w:t>23 July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