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By the Sea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by the Sea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July 2019</w:t>
      </w:r>
      <w:bookmarkEnd w:id="7"/>
      <w:r w:rsidRPr="009418D4">
        <w:rPr>
          <w:rFonts w:cs="Arial"/>
        </w:rPr>
        <w:tab/>
        <w:t xml:space="preserve">End date: </w:t>
      </w:r>
      <w:bookmarkStart w:id="8" w:name="AuditEndDate"/>
      <w:r w:rsidR="00A4268A">
        <w:rPr>
          <w:rFonts w:cs="Arial"/>
        </w:rPr>
        <w:t>3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by the Sea provides rest home and hospital level care for up to 49 residents in the care centre and up to 20 rest home residents in the serviced apartments.  On the day of the audit there were 38 residents in the care centre and no rest home residents in the serviced apartments.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The service is managed by a village manager who has been in the role three years and a care centre manager (RN) who has been in the role 10 weeks.  The management team is supported by a regional operations manager and regional quality manager.  </w:t>
      </w:r>
    </w:p>
    <w:p w:rsidRPr="00A4268A">
      <w:pPr>
        <w:spacing w:before="240" w:line="276" w:lineRule="auto"/>
        <w:rPr>
          <w:rFonts w:eastAsia="Calibri"/>
        </w:rPr>
      </w:pPr>
      <w:r w:rsidRPr="00A4268A">
        <w:rPr>
          <w:rFonts w:eastAsia="Calibri"/>
        </w:rPr>
        <w:t xml:space="preserve">This audit identified areas for improvement around performance appraisals, service provision timeframes, care plans interventions, medicine management, first aid training and restraint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Summerset by the Sea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by the Sea has a quality and risk management system in place.  Key components of the quality management system link to a number of meetings including monthly quality improvement meetings.  Annual surveys and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registered nurses are responsible for each stage of provision of care including assessments, care plans and evaluations.  Risk assessment tools and monitoring forms are available and implemented.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integrated activities programme.  There are outings into the community and visiting entertainers.  </w:t>
      </w:r>
    </w:p>
    <w:p w:rsidRPr="00A4268A" w:rsidP="00621629">
      <w:pPr>
        <w:spacing w:before="240" w:line="276" w:lineRule="auto"/>
        <w:rPr>
          <w:rFonts w:eastAsia="Calibri"/>
        </w:rPr>
      </w:pPr>
      <w:r w:rsidRPr="00A4268A">
        <w:rPr>
          <w:rFonts w:eastAsia="Calibri"/>
        </w:rPr>
        <w:t xml:space="preserve">There is a secure electronic medication system at the facility.  There are medicine management policies that align with acceptable guidelines.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are available along with product safety charts.  The building holds a current warrant of fitness.  Resident rooms are spacious with an adequate number of shower and toilet facilities for the number of residents.  There is wheelchair access to all areas.  External areas are safe and well maintained.  Fixtures, fittings and flooring is appropriate and toilet/shower facilities are constructed for ease of cleaning.  Cleaning and laundry services are well monitored through the internal auditing system.  There is an emergency plan in place including fire safety and there are sufficient civil defence supplies in the event of a civil emergency.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There were three residents with restraint and one resident using an enabler on the day of audit.  Consents, assessments and evaluations had been completed as per policy.  Restraint minimisation, enabler use, and challenging behaviour training is included in the training programme.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(care centre manager)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nine care staff (four caregivers, two registered nurses (RN), one enrolled nurse, one clinical coordinator and one diversional therapist) confirmed their familiarity with the Health and Disability Commissioner (HDC) Code of Health and Disability Services Consumers’ Rights (the Code).  Four residents (two hospital and two rest home) and five relatives (three hospital and two rest home) were interviewed and confirmed the services being provided are in line with the Code.  All staff complete training around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Completed resuscitation treatment plan forms were evident on all seven resident files reviewed (three hospital, including one resident under the young person with disability, and four rest home, including one respite care resident.  There was evidence that the general practitioner (GP) completed and signed clinically not indicated resuscitation status where residents were not deemed to be competent.  Family discussions were evident in the whānau contact form and progress notes.  General consent forms were evident on files reviewed.  Discussions with staff confirmed that they are familiar with the requirements to obtain informed consent for personal care, entering rooms and so on.  Signed admission agreements, enduring power of attorney and activation documentation was evident in the seven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Rights and access to advocacy services on entry to the service.  Residents interviewed confirmed they are aware of their right to access independent advocacy services and advocacy pamphlets are available at reception.  Code of Rights and advocacy is discussed with residents and relatives on admission to the service.  An advocate attends the resident three-monthly meetings which is also open to families to attend.  Meeting minutes are displayed on the resident noticeboard.  The service provides opportunities for the family/enduring power of attorney (EPOA) to be involved in decisions as evidenced in the resident files reviewed.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 with staff, residents and relatives informed residents are supported and encouraged to remain involved in the community and external groups.  Relative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including involvement from the care centre manager for clinical concerns/complaints.  There is a complaint register that included relevant information regarding the complaint.  Documentation included acknowledgement, investigation, follow-up letters (offering advocacy) and resolution.  There was one complaint received in 2018 and three complaints received to date for 2019.  Complaints and concerns are discussed at the relevant facility meeting.  A complaints procedure is provided to residents within the information pack at entry.  Feedback forms are available for residents/relatives and there is a suggestion box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in the welcome pack to residents that include the Code, complaints and advocacy.  Information is given to the family or the enduring power of attorney (EPOA) to read to and/or discuss with the resident.  Residents and relatives interviewed identified they are well informed about the Code of Rights.  The Code of Rights (in English and Māori) are displayed at the main entrance of the care centre.  Three monthly resident advocate meetings and the annual residents/relatives survey is completed and provides an opportunity to raise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Contact details of spiritual/religious advisors are available.  Resident files include cultural and spiritual values.  Residents and relatives interviewed reported that residents are able to choose to engage in activities, access community resources and are supported to attend church services.  Staff were observed knocking on resident doors before entering the room.  There is an elder abuse and neglect policy.  Staff receive education and training on abuse and neglect (last in June 2019 with 45 attendees).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has a Māori health plan 2019 – 2020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a local iwi kaumātua and marae (Ngai Te Rangi).  The service has access to advisors at the Māori health unit at the DHB and access to cultural education courses.  There were residents on the day of audit.  Staff interviewed were able to describe how they would ensure they meet the cultural needs of residents identifying as Māori.  Treaty of Waitangi and cultural safety is included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are invited to attend.  Discussion with relatives confirmed values and beliefs are considered.  Residents interviewed confirmed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House rules and a code of conduct are included in the employment contract and staff sign a professional boundaries policy on employment.  The staff and clinical meetings occur monthly and include discussions on professional boundaries and concerns as they arise.  Management provide guidelines and mentoring for specific situations.  Interviews with the village manager, care centre manager and clinical nurse leader confirmed an awareness of professional boundaries.  Caregivers and RNs interviewed were knowledgeable around the scope of their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stated that they are supported by the village manager and care centre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is undertaken.  There is a culture of ongoing staff development with an in-service programme being implemented.  Caregivers, once orientation has been completed, hold level two Careerforce unit standards.  There is evidence of education being supported outside of the training plan.  Registered nurses are linked to the DHB professional development recognition programme (PDRP).  There is good liaison and working relationship with the DHB personnel and outside organisations such as the Dementia Foundation.  Services are provided at Summerset that adheres to the Health &amp; Disability services standards.  There are implemented competencies for caregivers and registered nurses specific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resident’s health status and incidents/accidents as evidenced in 16 accident/incidents reviewed on the electronic register.   Resident/relative meetings are held three monthly with an independent advocate.  The village manager and the care centre manager have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DHB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49 residents at hospital and rest home level care in the care centre and up to 20 rest home level of care residents in serviced apartments.      On the day of the audit, there were 38 residents in the care centre with 21 at rest home level (including two private paying respite care residents) and 17 hospital level residents including one younger person under 65 years of age.  All beds in the care centre are dual-purpose beds.  There were no rest home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by the Sea has a site-specific business plan and goals that are developed in consultation with the village manager, care centre manager and regional quality manager.  The Summerset by the Sea quality plan is reviewed quarterly throughout the year.  The 2018 evaluation was sighted and there is a 2019 village plan in place that includes key priorities such as education, integrated village activities and a focus on providing a dementia friendly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almost three years and has a background in human resources.  The village manager attends ARC meetings and villager manager meetings and related education sessions.  The village manager is supported by a care centre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care centre manager was transferred from another Summerset site in April 2019 and has been in clinical and management roles (roving care centre manager) within Summerset for the last 11 years.  The care centre manager has completed a site induction and is working through a role specific orientation.  There are weekly meetings with the regional quality manager who was present during the audit.  The care centre manager has completed a certificate in wound care and is a Careerforce assessor.  The care centre manager is supported by a clinical nurse leader (CNL) who was appointed in May 2019.  The CNL has returned to NZ after working in district nursing and dementia care in Australia and has completed an orientation including related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office administrator or a roving village manager will cover the village manager’s role.  The CNL will cover the care centre managers leave.  The regional quality manager provides oversight and support.  The care centre manager and CNL alternate weeks on-call and the village manager is available on-call for facility matters.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by the Sea is implementing an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from head office.  The content of policy and procedures are detailed to allow effective implementation by staff.  Staff are required to read and sign for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The village manager and care centre manager complete monthly reports confirming completion of requirements.  There is a meeting schedule including monthly quality improvement meetings, staff meetings, registered nurse meetings and care staff meetings.  The infection control coordinator provides a monthly report and health and safety committee meetings are held.  Quality data such as infections, accidents/incident, hazards, restraint, audit outcomes, concerns/complaints are discussed and documented in meeting minutes.  Meeting minutes and quality data reports and graphs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residents/relatives survey has been completed for 2018 and reports 98% overall satisfaction rate.  The results have been communicated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environmental, infection control, health and safety, consumer rights and aspects of clinical care.  Corrective action plans and re-audits are completed if audit results are less than expected.  Monthly and annual analysis of results is completed and communicated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across the rest home and hospital. Infection control is also included as part of benchmarking across the organisation.  Data is analysed and corrective actions are required based on benchmarking outcomes.   The regional quality manager is alerted automatically through the RMSS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committee.  The service has a health and safety officer (interviewed) who is the property assistant, with health and safety level 1 qualifications.  The health and safety committee review incidents/accidents/hazards and near misses and provide a report to the quality improvement meeting.  Staff interviewed confirmed they are informed when health and safety meetings are due and have the opportunity to provide input into health and safety.  Each month there is a focus on one of the golden rules of safety.  All staff and contractors receive a health and safety induction.  The hazard register has been updated February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have been collected and analysed.  Fourteen resident related incident reports for June 2019 were reviewed including four unwitnessed falls (link 1.3.6.1), witnessed falls, skin tears and one challenging behaviour incident.  All reports and corresponding resident files reviewed evidenced that appropriate clinical care has been provided following an incident and the relative had been notified.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care centre manager and regional quality manager confirmed that there is an awareness of the requirement to notify relevant authorities in relation to essential notifications.  Two section 31 notifications have been lodged with the MOH and DHB November 2018 for unaccounted restricted medications.  A full investigation was completed and signed off by the DHB.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RN and allied health practising certificates is maintained.  Eight staff files (one care centre manager, one clinical nurse leader, one RN, one enrolled nurse, two caregivers, one diversional therapist and one health and safety officer/property assistant) were reviewed and all had relevant documentation relating to employment.  Not all performance appraisals had been completed annually.  The service has an orientation programme in place for each role that provides new staff with relevant information for safe work practice.  Staff interviewed were able to describe the orientation process and believed new staff were adequately orientated to the service.  Caregivers are level two of Careerforce once they have completed their orientation booklet.  The care centre manager is a Careerforce assessor.  There is an annual education plan that is outlined on the ‘clinical audit, training and compliance calendar’.  The plan has been completed for 2018 and commenced for 2019.  There are good attendance numbers and staff who do not attend are required to read the education material and sign the reading sheet.  The training programme is flexible enough to add additional in-services relevant to the service.  The service has an educational goal around providing palliative care training. Monthly “zoom” meetings for RNs have commenced with the training educator at head office.  External education is also provided, and RNs are linked to the PDRP (professional development recognition programme) at the DHB.  The care centre manager has achieved level four of the PDRP.  There are six RNs and a casual RN and care centre manager have completed interRAI training.  There are three RNs currently progressing through their terrain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caregivers, registered nurse and kitchen).  Core competencies are completed, and a record of completion is maintained on staff files and online.  The contracted physiotherapist completes safe manual handling and hoist training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care centre manager and clinical nurse leader work 40 hours per week (Monday to Friday) and are available on call for any emergency issues or clinical support.  The service provides a 24-hour RN.  There is an enrolled nurse on morning shift seven days a week who is allocated to provide packages of care for serviced apartment clients in the morning and completes duties in the care centre for the remainder of the morning shift.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caregivers on full morning shifts and four caregivers on the afternoon (three full shift and two short shift) and two caregivers on the night shift.  One caregiver with a first aid certificate is allocated to attend emergency calls in the village on each shift.</w:t>
            </w:r>
          </w:p>
          <w:p w:rsidR="00EB7645" w:rsidRPr="00BE00C7" w:rsidP="00BE00C7">
            <w:pPr>
              <w:pStyle w:val="OutcomeDescription"/>
              <w:spacing w:before="120" w:after="120"/>
              <w:rPr>
                <w:rFonts w:cs="Arial"/>
                <w:b w:val="0"/>
                <w:lang w:eastAsia="en-NZ"/>
              </w:rPr>
            </w:pPr>
            <w:r w:rsidRPr="00BE00C7">
              <w:rPr>
                <w:rFonts w:cs="Arial"/>
                <w:b w:val="0"/>
                <w:lang w:eastAsia="en-NZ"/>
              </w:rPr>
              <w:t>There is a recreational therapist Tuesday to Saturday.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Relatives and residents confirmed there were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electronic record.  Personal resident information is kept confidential and cannot be viewed by other residents or members of the public.  Electronic resident files are password protected from unauthorised access.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procedures in place to safely guide service provision and entry to services.  Referring agencies establish the appropriate level of care required prior to admission of a resident.  The service has a well-developed information pack available for residents/families/whānau at entry outlining services able to be provided, the admission process and entry to the service.  Information gathered at admission is retained in resident’s records.  All seven admission agreements viewed were signed.  Exclusions from the service are included in the admission agreement.  Residents and relatives interviewed stated they were well informed upon admission and had the opportunity to discuss the admission agreement with the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Copies of documentation and handover is kept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RNs, enrolled nurse and senior caregivers are responsible for the administration of medications and have completed medication competencies and annual medication education.  The RNs have completed syringe driver training.  All medications and robotic rolls were evidenced to be checked on delivery with any discrepancies fed back to the supplying pharmacy.  Standing orders are not used by the service.  There were three self-medicating residents (one hospital and two rest home) on the day of the audit.  One resident did not have a current reviewed competency assessment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securely in the locked medication room.  Original labels were present on medication in the medication trolley and cupboards.  Eyedrops had open dates documented.  The medication fridge temperature was not monitored and recorded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resident medication charts (six hospital and eight rest home) were reviewed on the electronic medication system.  All electronic charts had a photo ID and allergy status documented.  The ‘as required’ medications had an indication for use, however, not all medication charts reflected the effectiveness of ‘as required’ medication administered.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is contracted for the provision of meals on site and to the village café.  All meals at the service are prepared and cooked on site in a well-equipped kitchen.  The head cook oversees the overall management of the kitchen and ordering of supplies.  The head cook works from Monday to Friday and the weekends are covered by a casual cook.  The cook is supported by two kitchenhands, one of which covers the village café.  All kitchen staff are trained in safe food handling and receive ongoing training.  The food control plan was verified until 28 June 2019 and the FCP was in the process of being verified again.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8-week seasonal menu that had been reviewed by the contracted dietitian.  Menus are adjusted to meet resident preferences, likes and dislikes and alternate meal options are catered for.  Texture modified meals, protein drinks, diabetic desserts and gluten free meals are provided, as evidenced on the main kitchen noticeboard and residents’ dietary forms.  On admission, the registered nurse completes a dietary profile and a copy is given to the kitchen.  The RN updates the profiles with any dietary requirements and notifies the kitchen staff as verified by the head cook interviewed.  Cooked meals in bain maries are transported in hot boxes to the dining areas in the care centre and ground floor service apartments.  Staff were observed serving and assisting residents with their lunchtime meals and drinks.  Specialised crockery and utensils are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records all fridge and freezer, cooking, cooling and reheating temperatures daily.  End-cooked food temperatures are recorded on all meats and menu foods.  All food was stored correctly and dated.  Resident meetings and surveys allow for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occurs and communicates this decision to the potential residents/family/whānau and the referring agency.  The reasons for declining entry would be if the service is unable to provide the assessed level of care or there are no beds available.  Potential residents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seven resident files sampled evidenced that residents are admitted with a care needs level assessment completed by the Needs Assessment and Service Coordination (NASC) team prior to admission.  Files sampled indicated that personal needs information is gathered during admission from discharge summaries, medical notes, home care assessments and from discussions with the resident and their relative where appropriate.  The interRAI assessment tool was utilised as part of the six-monthly care plan updates (link 1.3.3 3).  Additional risk assessments for skin integrity, continence and pain, etc, are completed on admission and reviewed six monthly or when there is a change in a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seven (one was a respite admission) resident long-term care plans were reviewed.  The long-term care plans, completed within three weeks, records the resident’s problem/need and objectives; however, not all had sufficient interventions that reflected the residents’ current needs.  Residents and families interviewed confirmed their involvement in the care planning process.  The resident and family members sign the long-term care plan acknowledgement document as sighted in the resident files.  Short-term care plans were evident in use for short-term needs including (but not limited to): wounds, infections and skin conditions and changes in health status.  These were reviewed regularly and signed off as resolved or if an ongoing problem, added to the care plan.  Resident files demonstrated service integration and evidence of allied health care professionals involved in the care of the resident such as referral to mental health team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Evidence is present of family members being notified of any changes to their relative’s health status, incidents and updates.  Discussions with families and notifications were documented on the family/whānau contact sheet in the resident files.  Interviews with residents and family confirmed that their relative’s needs are met, and they are kept informed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The wound care file was reviewed.  Wound assessments, treatment and evaluations were in place for all current wounds (14 wounds were being treated including skin tears and one leg wound).  There were no pressure injuries on the day of audit.  The RNs interviewed were able to describe the referral process for a wound care nurse specialist if required.  Short-term care plans are used for short-term needs and were sighted for wounds, skin tear and skin infection.  Staff interviewed were aware of residents’ needs and understood interventions on how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Staff interviewed stated that they have enough stock available and are aware of how to access stock if need arises.  Sufficient gloves and aprons were available and sighted for staff to utilise.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There was a shortfall around neurological observations following falls and frequency of indwelling urinary catheter changes as prescribed.  There were no documented interventions for two residents with identified weight loss.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recreational therapist who has commenced diversional therapist (DT) training.  She is employed for 30 hours a week working from Tuesday to Saturday, with assistance from caregivers and volunteers on the other days.  The lead DT for Summerset group oversees the activity plans and programmes.  The activities programme is implemented from Tuesday to Saturday by the recreational therapist, with the Sunday and Monday programme consisting of a morning church service, knitting group and movies in the afternoon.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residents receive a copy of planned monthly activities in their rooms.  Monthly and daily activities plans were displayed on noticeboards around the facility.  The integrated rest home/hospital programme includes activities of interest or suggestions made by residents.  Activities meet the recreational needs of the residents ensuring all residents have the opportunity to attend activities such as exercises, newspaper reading, arts and crafts, board games, quizzes and reminiscing sessions.  Special events such as birthdays, Chinese New Year and Easter are celebrated.  One-on-one time is spent with residents who choose to stay in rooms or are unable to participate in group activities.  There are regular two weekly trips for outings, shopping, and attending community groups/functions including concerts and events.  Community visitors include entertainers, village volunteers, guest speakers, school children and pet therapy.  Families are invited and welcomed to become involved in the activity programme.  The Tuesday knitting group is led by a volunteer team from the village.  The younger person activities plan reflected their individual interests and hobbies including bowls and watching movies.  Residents are encouraged to maintain their former community links.  During the audit, residents and family were observed in activities.  The activities and garden team have set up a sensory garden equipped with colourful outdoor seating for residents and families to enjoy.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annual surveys provide an opportunity for residents to feedback on the programme, as well as resident verbal feedback.  Residents and family interviewed expressed satisfaction with the activities programme.  The recreational therapist is involved in the multidisciplinary review which includes the review of the resident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and long-term care plans were evaluated by the registered nurses.  Written evaluations had been completed six monthly or earlier for resident health changes in five of the six long-term resident files reviewed (link 1.3.3.3).  There is evidence of multidisciplinary (MDT) team involvement in the reviews including input from the GP, clinical nurse leader, registered nurse, care staff and any allied health professionals involved in the resident’s care.  Families are invited to attend the MDT review and asked for input if they are unable to attend.  Short-term care plans sighted have been evaluated by the RN as sighted in the resident’s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Mental health services, acute local hospital and physiotherapy are some of the allied services accessed by resident referrals in consultation with GP.  The service facilitates access to other medical and non-medical services.  Referral documentation is maintained on resident files.  Residents/EPOAs are informed and involved in the referral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policies in place to guide staff in chemical safety and waste management.  Management of waste and hazardous substances is covered during orientation and staff have attended chemical safety training.  Chemicals sighted were clearly labelled with manufacturer’s labels and stored safely throughout the facility.  Safety data sheets and product sheets are available.  Sharps containers are available and meet the hazardous substances regulations for containers.  A hazard register identifies hazardous substances and staff indicated a clear understanding of processes and protocols.  Gloves, aprons, and goggles are available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that expires in April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maintenance person employed for 37 hours a week, working from Monday to Friday and available on call, after hours and on weekends.  The Summerset planned maintenance programme is in place to address reactive and preventative maintenance.  All medical and electrical equipment has been tested and tagged.  Chair scales are available and have been calibrated and tagged.  Call bell checks are completed monthly and recorded, faults detected have been addressed and the actions recorded.   Equipment that is not in use have designated storage areas that are located in areas for easy access to staff.  Hot water temperatures in resident areas have been regularly monitored and recorded.  Water temperature checks were noted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Hallways are very wide and have safety rails and promote safe mobility while using mobility aids.  The facility has enough space for residents to mobilise using mobility aids and residents are observed moving around freely.  The external areas and gardens are well maintained.  Residents have access to designated external areas that have seating and shade.  Staff stated they have sufficient equipment to safely deliver care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vehicles (a car and bus) to provide transport to residents and for staff usage.  Both vehicles have current vehicle warrants of fitness and registration documents as evidenced.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have large ensuites.  Fixtures, fittings and flooring is appropriate and toilet/shower facilities are constructed for ease of cleaning.  There is ample space in all ensuites to accommodate shower chairs and hoists if appropriate.  There are eight standard rooms with shared communal toilet/shower facilities (with privacy locks) located closely to the resident rooms.  The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spacious to allow care to be provided and for the safe use of mobility aids.  Residents are encouraged to personalise their bedrooms as viewed on the day of audit.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numerous spacious communal areas throughout the facility.  Activities as observed on the day of the audit are held in the lounges.  The lounges are large enough so there is no impact on other residents who are not involved in activities.  The arrangement of seating and space allows both individual and group activities to occur.  There were smaller lounges/family rooms, equipped with a kitchenette where residents who prefer quieter activities or family/visitors may sit and make a cup of tea/coffee.  The dining rooms are spacious.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cleaning and laundry manual to guide staff in the safe and efficient use of laundry and cleaning services.  Safety data sheets are available in both the laundry and cleaners’ rooms.  All chemicals are stored in a locked cupboard.  There is appropriate personal protective wear readily available.  There are dedicated laundry staff and cleaners on duty seven days a week.  All laundry is undertaken on site.  The laundry is spacious and well organised and divided into a ‘dirty and clean’ area.  The laundry is located on the ground floor and clean laundry is transported in covered trolleys by lift to the care centre.  Kitchen washing is laundered in the care centre by caregivers.  All other dirty laundry is sorted into red and blue bags, sent via the chute to the dirty area in the main laundry for washing.  The laundry staff member interviewed could describe appropriate systems for managing infectious laundry.  The laundry had a confirmed cleaning schedule in place, with areas dates and times evidenced.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equipment was attended-to at all times or locked away when not in use.  Chemical bottles on the trolley had manufacturer labels.  There are sluice rooms for the disposal of soiled water or waste.  The sluice rooms and the laundry are locked when not in use.  Residents and relatives interviewed reported satisfaction with both the laundry and cleaning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civil defence plans (including Tsunami) to guide staff in managing emergencies and disasters.  Summerset by the Sea has an approved fire evacuation plan dated 13 September 2015.  Fire drills occur six monthly.  The village manager is the senior fire warden and provides emergency management including fire safety training for all staff on orientation and ongoing as part of the training plan.  There are adequate civil defence supplies including equipment, food and water storage for four litres per person per day.  Civil defence supplies are checked regularly.  There are barbeques and gas bottles for alternative cooking.  A generator is available as required and there is battery backup for call bells and lights.  Call bells were evident in residents’ rooms, lounge areas and toilets/bathrooms.  Staff carry walkie talkies and one staff member with first aid responds to village call outs, however there is not always at least one rostered staff member on night shift with a current first aid cert.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secured at night.  The village gates are locked at night with access to the emergency services.  There are security cameras at entry and exit points.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and safe ventilation.  Documentation and visual inspection evidenced that the environment is maintained at a safe and comfortable temperature.  The residents and family interviewed confirmed temperatures were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who is the care centre manager.  She previously held the role at another Summerset facility.  The infection control officer has a signed job description.  The infection control programme is linked into the quality management system and reviewed annually by the infection control quality manager at head office, in consultation with infection control officers.  Goals for 2019 are to reduce infections and increase the uptake of influenza vaccines for 2020.  There is a monthly “zoom” meeting with the infection control quality manager and all infection control officers.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Influenza vaccines are offered to residents and staff.  Hand sanitisers are available throughout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has been in the role at Summerset by the Sea for 10 weeks.  She has a graduate certificate in infection prevention and control and recently an on-line infection control course.  The monthly “zoom” meetings with all Summerset infection control officers includes topical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team comprises of a cross section of staff from areas of the service.  The infection control team meet monthly and provide a report to the quality improvement meeting, facility meetings and infection control quality manager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has access to an infection control nurse specialist at the DHB, GPs, laboratory, pharmacy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at head office.  The infection control officer is on the policy review committee.  Policies are available to all staff.  They are notified of any new/reviewed policies and are required to read and sign for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 and providing education and training to staff.  The induction package includes specific training around handwashing competencies and standard precautions.  Ongoing training occurs annually as part of the training calendar set at head office.  Education for 2019 to date includes pandemic planning, outbreak management, hand hygiene, waste management and MRSA.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policy that includes a surveillance procedure, process for detection of infection, infections under surveillance, outbreaks and quality and risk management.  Infection events are collected monthly and entered into the electronic system.  The infection control officer provides infection control data, trends and relevant information to the infection control committee and clinical/quality meetings.  Areas for improvement are identified, corrective actions developed and followed up.  The facility is benchmarked against other Summerset facilities of similar size and benchmarking results are fed back to the infection control officer and used to identify areas for improvement.  Infection control audits across all services are completed and corrective actions are signed off (sighted).  Surveillance results are used to identify infection control activities and education needs within the facility.  Reports and graphs are displayed on the staff room infection control noticeboard.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support of the use of enablers and restraints.  The policy meets the intent of the restraint minimisation standards.  The care centre manager is the restraint coordinator and has a job description which defines the responsibility of the role.  There are three hospital level residents with restraint (bedrails/lap belt) and one hospital resident with an enabler (bedrails) on the day of audit.  One resident has two restraints.  Voluntary consent and assessment for the resident with an enabler were up to date.  The enabler is reviewed as part of the monthly clinical meetings.  Risks associated with the use of the enabler has been identified in the care plan and monitoring has not occurred at the documented frequency (link 2.2.2.1).  Restraint minimisation, enabler training and challenging behaviour is included in the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and responsibility for the restraint coordinator is included in the restraint policy.  Registered nurses complete a restraint self-learning package on orientation and ongoing education is included in the education planner.  Care staff also complete self-learning packages.  The restraint committee (care centre manager, clinical nurse leader and an enrolled nurse) approve the use of restraints.  The restraint minimisation and enabler policy clearly describe responsibilities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undertakes restraint assessments in consultation with the RNs, GP and in partnership with the family/whānau.  Restraint assessments are based on information in the care plan, resident discussions and on observations of the staff.  There is a restraint assessment tool available, which is completed for residents requiring an approved restraint for safety.  Assessments reviewed for the three residents on restraint and one resident with an enabler were reviewed and all were completed as required and to the level of detail required for the individual residents.  Completed assessments considered those factors listed in 2.2.2.1 (a) - (h), however the risks identified were not documented in the care plans for two residents on restraint and one resident with an enabler (link 2.2.3.2).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Monitoring and observation is included in the restraint policy.  There are approved restraints documented in the policy.  The restraint coordinator is responsible for ensuring all restraint documentation is completed.  The approval process includes ensuring the environment is appropriate and safe.  Restraint authorisation is in consultation/partnership with the resident (as appropriate) or whānau/EPOA, GP and the facility restraint coordinator.  The risks identified were not documented in the care plans for two residents on restraint and one resident with an enabler (link 2.2.3.4).  The frequency of monitoring was documented in the care plans; however, this had not occurred for two residents (one restraint and one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three monthly as part of the ongoing reassessment for the resident on the restraint register, and as part of the care plan and GP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in the facility is evaluated in the monthly RN team meeting and annually.  The restraint coordinator provides monthly restraint and enabler reports to the regional manager.  Policies are reviewed by the policy review group at head office.  Internal restraint audits identify any areas for improvement.  Restraint is discussed at clinical meetings and at handovers.  There have been no incidents relating to restraint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51"/>
        <w:gridCol w:w="1280"/>
        <w:gridCol w:w="4606"/>
        <w:gridCol w:w="2231"/>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‘clinical audit, training and compliance calendar’.  The plan has been completed for 2018 and commenced for 2019.  There are good attendance numbers and staff who do not attend are required to read the education material and sign the reading sheet.  The training programme is flexible enough to add additional in-services relevant to the service.  Staff have a three-month review following employment, to monitor progress towards completing their orientation programme and identify any learning opportunities.  An annual appraisal is competed thereafter.  Eight staff files reviewed identified there were no annual appraisals for three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appraisals had not been completed for three staff (enrolled nurse, caregiver and property assistant).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performance appraisals are completed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fourteen of medication charts had been reviewed by the GP three-monthly.  There are no standing orders in use.  Regular and ‘as required’ medications were prescribed and administered correctly.  Medication charts reviewed did not have documented evidence of the effectiveness of the ‘as required’ medication that was administered.  Medication fridge temperatures were not regularly monitored and recorded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Six of the fourteen medication charts did not have documented evidence of the effectiveness of ‘as required’ medication administered.  </w:t>
            </w:r>
          </w:p>
          <w:p w:rsidR="00EB7645" w:rsidRPr="00BE00C7" w:rsidP="00BE00C7">
            <w:pPr>
              <w:pStyle w:val="OutcomeDescription"/>
              <w:spacing w:before="120" w:after="120"/>
              <w:rPr>
                <w:rFonts w:cs="Arial"/>
                <w:b w:val="0"/>
                <w:lang w:eastAsia="en-NZ"/>
              </w:rPr>
            </w:pPr>
            <w:r w:rsidRPr="00BE00C7">
              <w:rPr>
                <w:rFonts w:cs="Arial"/>
                <w:b w:val="0"/>
                <w:lang w:eastAsia="en-NZ"/>
              </w:rPr>
              <w:t>(ii) Medication fridge temperatures are not regularly monitored and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effectiveness of ‘as required’ medication administered is documented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medication fridge temperatures are monitored.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self-medicating rest home residents had been assessed as competent to self-medicate by the RN and GP, however, one competency had not been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self-medicating rest home resident competency had not been reviewed by the RN and GP three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self-medication competencies are reviewed three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seven resident files reviewed had an initial assessment completed within 24 hours of admission.  In two of the five long-term files reviewed interRAI assessments and care plans were not developed within 21 days of admission.  In one of the resident files reviewed, the interRAI assessments and care plan evaluations were not completed six monthly.  Residents were seen by their preferred GPs; however, one resident was not seen within five days of admission and one resident had a four-month period between GP visits.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rest home resident did not have an initial assessment and care plan completed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Two rest home residents did not have an interRAI assessment and long-term care plan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hospital resident did not have six monthly interRAI assessments and care plan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(iv) One rest home resident did not have a medical assessment by a GP within five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One hospital resident had a four-month period between GP reviews.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initial assessments and care plans are completed with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(ii)  Ensure first interRAI assessments and long-term care plans are completed within 21days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(iii) Ensure the routine interRAI assessment and care plan evaluations are completed six-monthly for all long-term residents.</w:t>
            </w:r>
          </w:p>
          <w:p w:rsidR="00EB7645" w:rsidRPr="00BE00C7" w:rsidP="00BE00C7">
            <w:pPr>
              <w:pStyle w:val="OutcomeDescription"/>
              <w:spacing w:before="120" w:after="120"/>
              <w:rPr>
                <w:rFonts w:cs="Arial"/>
                <w:b w:val="0"/>
                <w:lang w:eastAsia="en-NZ"/>
              </w:rPr>
            </w:pPr>
            <w:r w:rsidRPr="00BE00C7">
              <w:rPr>
                <w:rFonts w:cs="Arial"/>
                <w:b w:val="0"/>
                <w:lang w:eastAsia="en-NZ"/>
              </w:rPr>
              <w:t>(iv) Ensure all residents are assessed and admitted by GP within five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Ensure residents are reviewed by a GP at least three-monthly.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assist in developing care plan interventions.  The long-term care plans are developed in consultation with the resident/relative.  Long-term care plans were in place for all residents that identified the resident goals and objectives, however three of the six long-term care plans had not been updated to reflect the resident currents needs and interventions to safely guide care staff in the delivery of care.  The one respite resident file reviewed included assessments and a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six long-term care plans reviewed did not include interventions and needs/supports for the following;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resident with a PEG tube in place did not have interventions regarding management of the PEG tube site, monitoring for complications including infection. </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resident with challenging behaviours did not have interventions related to management of challenging behaviours, identification of triggers and de-escalation techniques.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hospital resident with a chronic wound that was noted in the short-term care plan to be transferred to the long-term care plan, did not have interventions in place regarding management of wound care and optimising wound healing.   </w:t>
            </w:r>
          </w:p>
          <w:p w:rsidR="00EB7645" w:rsidRPr="00BE00C7" w:rsidP="00BE00C7">
            <w:pPr>
              <w:pStyle w:val="OutcomeDescription"/>
              <w:spacing w:before="120" w:after="120"/>
              <w:rPr>
                <w:rFonts w:cs="Arial"/>
                <w:b w:val="0"/>
                <w:lang w:eastAsia="en-NZ"/>
              </w:rPr>
            </w:pPr>
            <w:r w:rsidRPr="00BE00C7">
              <w:rPr>
                <w:rFonts w:cs="Arial"/>
                <w:b w:val="0"/>
                <w:lang w:eastAsia="en-NZ"/>
              </w:rPr>
              <w:t>(iv). Two hospital residents who had weight loss identified did not have interventions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(i)-(iv) Ensure care plans include interventions to support the resident’s current identified needs and supports.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residents’ health and well-being including blood pressure and pulse, weight, blood sugar levels, behaviour, and food and fluid intake.  Short-term care plans are used to document short-term needs and supports.  Short-term care plans sighted on the day of audit included skin infection, wounds and skin tear, pressure injury risk.  These had been reviewed regularly and signed off when resolved or transferred to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Five incidents of residents with unwitnessed falls did not have neurological observations monitored and recorded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 The prescribed intervention around indwelling catheter tube changes were not implemented for one hospital resident that had an indwelling urinary catheter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neurological observations are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urinary catheter interventions regarding changes of tube are implemented as prescribed and recorded.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First aid training including cardiopulmonary resuscitation (CPR) is included in the Summerset training plan.  Registered nurses, enrolled nurses and senior caregivers (who attend village callouts) complete first aid training.  There is not always at least one rostered staff member on night shift with a current first aid cert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always at least one rostered staff member on night shift with a current first aid cert.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 trained first aider on duty at all times for the care centre.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had been completed for the three residents with restraints and the one resident with an enabler.  The assessments included identifying any risks related to the use of the restraints and enabler, however interventions were not documented in the care plan to mitigate all identified risks.  The frequency of monitoring had been documented for restraints and enabler but not always completed as instructed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care plans for two of three residents on restraint and one resident with an enabler did not include interventions to manage the risks related to the restraint as identified through the assessment process, and (ii) monitoring had not occurred as the required frequency for one resident on restraint and one resident on an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care plans document interventions to manage the risks related to the restraint, and (ii) ensure monitoring occurs at the frequency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By the Sea</w:t>
    </w:r>
    <w:bookmarkEnd w:id="58"/>
    <w:r>
      <w:rPr>
        <w:rFonts w:cs="Arial"/>
        <w:sz w:val="16"/>
        <w:szCs w:val="20"/>
      </w:rPr>
      <w:tab/>
      <w:t xml:space="preserve">Date of Audit: </w:t>
    </w:r>
    <w:bookmarkStart w:id="59" w:name="AuditStartDate1"/>
    <w:r>
      <w:rPr>
        <w:rFonts w:cs="Arial"/>
        <w:sz w:val="16"/>
        <w:szCs w:val="20"/>
      </w:rPr>
      <w:t>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