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Masonic Court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Masonic Court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July 2019</w:t>
      </w:r>
      <w:bookmarkEnd w:id="7"/>
      <w:r w:rsidRPr="009418D4">
        <w:rPr>
          <w:rFonts w:cs="Arial"/>
        </w:rPr>
        <w:tab/>
        <w:t xml:space="preserve">End date: </w:t>
      </w:r>
      <w:bookmarkStart w:id="8" w:name="AuditEndDate"/>
      <w:r w:rsidR="00A4268A">
        <w:rPr>
          <w:rFonts w:cs="Arial"/>
        </w:rPr>
        <w:t>19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Masonic Court Rest Home and Hospital provides rest home and hospital level care for up to 49 residents. The facility is owned by Masonic Care Limited and is managed by a facility manager who is a registered nurse. Residents and families spoke positively about the care provided.</w:t>
      </w:r>
    </w:p>
    <w:p w:rsidRPr="00A4268A">
      <w:pPr>
        <w:spacing w:before="240" w:line="276" w:lineRule="auto"/>
        <w:rPr>
          <w:rFonts w:eastAsia="Calibri"/>
        </w:rPr>
      </w:pPr>
      <w:r w:rsidRPr="00A4268A">
        <w:rPr>
          <w:rFonts w:eastAsia="Calibri"/>
        </w:rPr>
        <w:t>This certification audit was undertaken to establish compliance with the Health and Disability Service Standards and the service’s contract with the District Health Board. The audit process included review of policies and procedures, review of residents’ and staff files, observations and interviews with residents, families, management, staff, nurse practitioners and allied health professionals.</w:t>
      </w:r>
    </w:p>
    <w:p w:rsidRPr="00A4268A">
      <w:pPr>
        <w:spacing w:before="240" w:line="276" w:lineRule="auto"/>
        <w:rPr>
          <w:rFonts w:eastAsia="Calibri"/>
        </w:rPr>
      </w:pPr>
      <w:r w:rsidRPr="00A4268A">
        <w:rPr>
          <w:rFonts w:eastAsia="Calibri"/>
        </w:rPr>
        <w:t xml:space="preserve">Continuous improvement ratings have been awarded relating to end of life outcomes, accessing general practitioners after hours and a reduction in residents falling. </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Masonic Court Rest Home and Hospital.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undertaken by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includes a purpose, vision, values and goals. There is regular reporting by the facility manager to the chief executive officer who reports to the board.</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two clinical nurse leaders and a quality/education coordinator.</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resident, registered nurse (RN), health and safety and quality meetings are held on a regular basis. 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Human resource processes are followed. An in-service education programme is provided.</w:t>
      </w:r>
    </w:p>
    <w:p w:rsidRPr="00A4268A">
      <w:pPr>
        <w:spacing w:before="240" w:line="276" w:lineRule="auto"/>
        <w:rPr>
          <w:rFonts w:eastAsia="Calibri"/>
        </w:rPr>
      </w:pPr>
      <w:r w:rsidRPr="00A4268A">
        <w:rPr>
          <w:rFonts w:eastAsia="Calibri"/>
        </w:rPr>
        <w:t xml:space="preserve">There is a documented rationale for determining staffing levels and skill mixes to provide safe service delivery that is based on best practice. The facility manager is rostered on call after hours.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Masonic Court Rest Home and Hospital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with adequate personal space provided. Lounges, a dining area and alcoves are available.  External areas for sitting and shading are provided. An appropriate call bell system is available and security and emergency systems are in place.</w:t>
      </w:r>
    </w:p>
    <w:p w:rsidRPr="00A4268A">
      <w:pPr>
        <w:spacing w:before="240" w:line="276" w:lineRule="auto"/>
        <w:rPr>
          <w:rFonts w:eastAsia="Calibri"/>
        </w:rPr>
      </w:pPr>
      <w:r w:rsidRPr="00A4268A">
        <w:rPr>
          <w:rFonts w:eastAsia="Calibri"/>
        </w:rPr>
        <w:t>Protective equipment and clothing is provided and used by staff. Chemicals, soiled linen and equipment are safely stored. All laundry is washed on site. Cleaning and laundry systems are audited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was a resident using restraint and residents using an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2"/>
        <w:gridCol w:w="1280"/>
        <w:gridCol w:w="97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Court Rest Home and Hospital (Masonic)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Brochures related to the Advocacy Service were also displayed and available at reception.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how to access the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resident is an on-site resident advocate who offers residents advice and support if needed. Interview with the advocate verified they are aware of the national advocacy service and the ability to assist residents to access this service if required. The advocate verified residents’ satisfaction with the services provided by Masonic, and the prompt responsiveness by management in dealing with any areas of dissatisfaction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and ‘service improvement’ forms available at the main entrance and hospital area.  All complaints have been entered into the complaints register. Two complaints were reviewed and actions taken were documented and completed within the timeframes specified in the Code.  Action plans reviewed evidenced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there have been no complaint investigations by the Health and Disability Commissioner (HDC), Ministry of Health, District Health Board (DHB), Accident Compensation Corporation (ACC), Coroner or Police since the previous surveillance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of Masonic and family members of residents verified they are made aware of the Code and the Nationwide Health and Disability Advocacy Service (Advocacy Service) as part of the admission information provided and discussion with staff. The Code is displayed in common areas together with information on advocacy services, how to make a ‘suggestion regarding areas for improvement’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confirmed that they receive services from Masonic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General Practitioner (GP) or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Brochures on elder abuse are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and two staff members at Masonic at the time of audit who identified as Māori. A resident who lives on site in the Masonic Court Village identifies as Maori, is a kaumatua, and provides residents and staff with cultural and spiritual support. Interviews verify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the cultural adviser. The Maori health plan is included in the file of the resident who identifies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Masonic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NP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encourages and promotes good practice through evidence based policies, input from external specialist services and allied health professionals, for example, the hospice/palliative care team, physiotherapist, wound care specialist, community dieticians, services for older people, psycho-geriatrician and mental health services for older persons, and education of staff. The ongoing in-service education provided to staff is delivered by outside speakers to enable staff to receive up to date education in line with best practice standards. Staff reported they receive management support for access to external education (conferences and off-site seminars) and access their own professional networks, such as on-line forums and training hubs,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NP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focus on improving the quality of palliative care provided at Masonic (refer criterion 1.2.3.7), a commitment to improving the access of GP/NP services after hours, and enable continuity of resident care at Masonic (refer criterion 1.3.3.4) and the implementation of an initiative that has resulted in a reduction in the number of falls (refer criterion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Mid-Central District Health Board (MCDHB) when required. Staff knew how to access the service.</w:t>
            </w:r>
          </w:p>
          <w:p w:rsidR="00EB7645" w:rsidRPr="00BE00C7" w:rsidP="00BE00C7">
            <w:pPr>
              <w:pStyle w:val="OutcomeDescription"/>
              <w:spacing w:before="120" w:after="120"/>
              <w:rPr>
                <w:rFonts w:cs="Arial"/>
                <w:b w:val="0"/>
                <w:lang w:eastAsia="en-NZ"/>
              </w:rPr>
            </w:pPr>
            <w:r w:rsidRPr="00BE00C7">
              <w:rPr>
                <w:rFonts w:cs="Arial"/>
                <w:b w:val="0"/>
                <w:lang w:eastAsia="en-NZ"/>
              </w:rPr>
              <w:t>Masonic offers the residents access to free Wi-Fi, and several residents communicate with family and friends via the internet. Residents of Masonic also have access to a ‘Smart View’ machine, which enlarges the article residents want to read, enabling them to independently read their mail, or the newspaper. A quarterly newsletter keeps residents and family members up to date with the happenings at Masonic.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Masonic Care Limited is governed by a trust board that is responsible for the service at Masonic Court and is responsible for setting the strategic direction. A strategic business plan 2016-2021 includes a purpose, vision, mission and values. There are four goals: to be sustainable; to provide consumer centred care; to achieve on-going quality improvements and to be the best place to work. The service philosophy is in an understandable form and is available to residents and their family / representative or other services involved in referring clients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FM provides a comprehensive report to the chief executive officer (CEO), monthly. The report includes, but is not limited to, reporting on occupancy, staffing and human resources management, quality data, interRAI assessments, and general comments. The FM and CEO reported they meet at least monthly and discuss the activities at Masonic Court via phone at least two weekly. ‘Quad meetings’ are held quarterly and all managers and quality coordinators within the group meet physically to discuss a range of subjects.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who is an RN was appointed to the position in November 2017 and has held management positions including in the aged care sector. The facility manager is supported by two clinical nurse leaders(CNL) and a quality/education coordinator who is a registered nurse. The clinical nurse leaders along with the FM are responsible for oversight of the clinical service in the facility. Interview of the facility manager and CNLs and review of their personal files evidenced they have undertaken education in relevant areas.</w:t>
            </w:r>
          </w:p>
          <w:p w:rsidR="00EB7645" w:rsidRPr="00BE00C7" w:rsidP="00BE00C7">
            <w:pPr>
              <w:pStyle w:val="OutcomeDescription"/>
              <w:spacing w:before="120" w:after="120"/>
              <w:rPr>
                <w:rFonts w:cs="Arial"/>
                <w:b w:val="0"/>
                <w:lang w:eastAsia="en-NZ"/>
              </w:rPr>
            </w:pPr>
            <w:r w:rsidRPr="00BE00C7">
              <w:rPr>
                <w:rFonts w:cs="Arial"/>
                <w:b w:val="0"/>
                <w:lang w:eastAsia="en-NZ"/>
              </w:rPr>
              <w:t>Masonic Court is certified to provide 49 residents with hospital level and rest home level care. On the day of audit there were 46 residents - 15 hospital level and 31 rest home level care. Six bedrooms adjacent to the hospital wing have been approved as dual-purpose rooms.</w:t>
            </w:r>
          </w:p>
          <w:p w:rsidR="00EB7645" w:rsidRPr="00BE00C7" w:rsidP="00BE00C7">
            <w:pPr>
              <w:pStyle w:val="OutcomeDescription"/>
              <w:spacing w:before="120" w:after="120"/>
              <w:rPr>
                <w:rFonts w:cs="Arial"/>
                <w:b w:val="0"/>
                <w:lang w:eastAsia="en-NZ"/>
              </w:rPr>
            </w:pPr>
            <w:r w:rsidRPr="00BE00C7">
              <w:rPr>
                <w:rFonts w:cs="Arial"/>
                <w:b w:val="0"/>
                <w:lang w:eastAsia="en-NZ"/>
              </w:rPr>
              <w:t>Masonic Court has contracts with the DHB for aged related residential care services, long term chronic health conditions and complimentary care (respite)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appropriate systems in place to ensure the day-to-day operation of the service continues should the FM be absent. The clinical nurse leaders would be responsible for the day-to-day management of the facility during the facility manager’s absence. Support would be provided by the quality/education coordinator/RN.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management plan 2019 guides the quality programme and included goals, objectives, risk, document control and quality targets. Quality data is collected, collated and analysed, including audits, incidents/accidents, surveys and clinical indicators and data is entered into an electronic programme provided by an external company. They  provide graphs, quarterly reports and benchmarking with other like facilities.  Registered nurse, staff, health and safety, quality, infection control and resident meetings are held regularly.  Meeting minutes reviewed confirmed this and evidenced reporting back to staff on corrective actions and trends as a result of analysing quality data. Staff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2018 have been collated and corrective actions put in place. Review of results evidenced a high rate of satisfaction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reflected current accepted good practice, and referenced legislative requirements.  Policies / procedures have been reviewed and were current.  Staff confirmed they are advised of updated policies and that the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included a matrix and risk register that is comprehensive and included risks associated with clinical care, human resources, legislative compliance, contractual and environmental risk. The hazard register included actual and potential hazards and the actions put in place to minimise or eliminate the hazard. Newly found hazards are communicated to staff and residents as appropriate. The health and safety coordinator is the FM and is responsible for hazards and demonstrated good knowledge. Staff confirmed they understood and implemented documented hazard identification processes. </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awarded under 1.2.3.7 relating to providing a more effective end of life experience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Health Status. Family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and other documentation confirmed this.  Policy and procedures comply with essential notification reporting. The FM reported there have been one section 31  notification to the Ministry of Health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takes up to three months to complete and staff performance is reviewed at the end of this period and annually thereafter.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quality/education coordinator. There was good evidence of in-service education provided for staff and documentation evidenced this is provided in several ways including half day sessions every six weeks, some taken by external educators, online learning and RNs attending sessions at the DHB and hospice. Individual certificates of training including competencies are held electronically. Staff are required to complete a questionnaire if they do not attend in-service education. Four of the nine RNs are interRAI trained and have current competencies.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also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The policy includes the staffing requirement in-line with the contract with the DHB.  The service uses an electronic programme to ensure safe staffing levels. The rosters evidenced staffing levels exceed the minimum requirements. The FM reported the rosters are reviewed continuously and dependency levels of residents and the physical environment are considered. The FM works full time Monday to Friday. One clinical leader/RN works in the rest home area and the other works in the hospital area on the morning shifts plus another RN working on the floor.  Registered nurse cover is provided seven days a week over the 24-hour period. One RN has recently completed the competency assessment programme (CAP) course and has 12 months working as a caregiver in the facility prior to graduating. All other RNs are experienced in aged care and have been employed for at least three years. The FM reported there is a pool of casual RNs and caregivers when shifts are short and agency staff are used if needed. There are dedicated cleaning and laundry staff. A diversional therapist is employed full time.</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families reported there was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Masonic when their required level of care has been assessed and confirmed by the local Needs Assessment and Service Coordination (NASC) Service. Prospective residents and/or their families are encouraged to visit the facility prior to admission and meet with the facility manager (FM). They are also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MCDHB pink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FM and clinical leader (CL)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Masonic.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Masonic is provided on site by a cook and is in line with recognised nutritional guidelines for older people. The menu follows summer and winter patterns and was reviewed by a qualified dietitian in April 2019.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registered with the Palmerston North City Council. The second round of verification audits have taken place. One finding around documenting cooling temperatures has been addressed with the new plan now approved for 18 months.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high level of satisfaction with meals was verified by resident and family interviews, satisfaction surveys, food satisfaction feedback and resident meeting minutes. The cook dishes up dessert in the rest home dining room every day and responds promptly to any areas of residents’ dissatisfaction with meals, by adjusting based on feedback.  Residents were seen to be given time to eat their meal in an unhurried fashion and those requiring assistance had this provided. There were enough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FM.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Masonic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showed that initial assessments are completed as per the policy and within 24 hours of admission. InterRAI assessments are completed within three weeks of admission and at least six monthly unless the resident’s condition changed. Interviews, documentation and observation verified the RNs are familiar with requirement for reassessment of a resident using the interRAI assessment tool when a resident has increasing or changing need levels. </w:t>
              <w:br/>
              <w:t>All residents, apart from the resident recently admitted, have current interRAI assessments completed by four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were reflected in the care plans reviewed. An initiative to address the number of falls and the correlation with the number of showers, is an area identified as one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a residents’ gardening group that grows vegetables for use in the kitchen, a residents’ knitting group, jigsaw sessions, church services, visits to and by another rest home, playgroup visits, visiting entertainers, quiz sessions and daily news updates. The activities programme is discussed at the minuted residents’ meetings and indicated residents’ input is sought and responded to. Friends and family of residents meet every three months socially at Masonic, to mix and mingle with the FM and each other on a social level.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NP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Policies and procedures specify labelling requirements in line with legislation.  Material safety data sheets are throughout the facility and accessible for staff. The company representative that supplies chemicals visits monthly and provides training. Education to ensure safe and appropriate handling of waste and hazardous substances has been provided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protective clothing and equipment appropriate to recognised risks.  There was protective clothing and equipment sighted in the sluice rooms and the laundry and this was being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was displayed.  There are appropriate systems in place to ensure the residents’ physical environment and facilities are fit for purpose. Residents and families stated they can move freely around the facility and that the accommodation meets their needs. The passageway in the hospital area has been refurbished and cupboards removed which has made the area wider. </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interviewed works four days a week and has good knowledge of requirements. There are robust maintenance systems implemented. A proactive maintenance programme is in place and a reactive maintenance book for staff to enter any maintenance required has corrective actions completed and sign off.  Plant and equipment are maintained to an adequate standard. Testing and tagging of equipment and calibration of biomedical equipment was current. Hot water temperatures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that are safely maintained and are appropriate to the resident groups and setting.  The environment is conducive to the range of activities undertaken in the areas including a large wooden deck off the main dining room/lounge.  Residents are protected from risks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know the processes they should follow if any repairs/maintenance are required and that requests are appropriately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bedroom has a full ensuite and five have a wash hand basin and toilet.  There are adequate numbers of communal bathrooms and toilets throughout the facility.  Residents reported that there are sufficient toilets and they are easy to access with vacant/engaged signage.</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provide single accommodation with a mix of sizes. Six bedrooms have been approved next to the hospital bedrooms as dual purpose. There is adequate personal space provided for residents and staff to move around safely within the bedrooms. Residents and families spoke positively about their accommodation.  Rooms are personalised with furnishings, photos and other personal adornments.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mobility scooters and wheelchairs.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various areas for residents and families to frequent for activities, dining, relaxing and for privacy.  The areas are easily accessed by residents and staff.  Residents and families confirmed this.  Furniture is appropriate to the setting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washed on site. Residents and families reported the laundry is managed well and resident’s clothes are returned in a timely manner. The laundry person demonstrated good knowledge relating to laundry processes.</w:t>
            </w:r>
          </w:p>
          <w:p w:rsidR="00EB7645" w:rsidRPr="00BE00C7" w:rsidP="00BE00C7">
            <w:pPr>
              <w:pStyle w:val="OutcomeDescription"/>
              <w:spacing w:before="120" w:after="120"/>
              <w:rPr>
                <w:rFonts w:cs="Arial"/>
                <w:b w:val="0"/>
                <w:lang w:eastAsia="en-NZ"/>
              </w:rPr>
            </w:pPr>
            <w:r w:rsidRPr="00BE00C7">
              <w:rPr>
                <w:rFonts w:cs="Arial"/>
                <w:b w:val="0"/>
                <w:lang w:eastAsia="en-NZ"/>
              </w:rPr>
              <w:t>Cleaners have received appropriate education.  Interview of one of the cleaners and training records confirmed this. Chemicals are stored in a locked cupboard.  All chemicals were in appropriately labelled containers. All equipment used for cleaning is colour coded. Cleaning and laundry processes are monitored through the internal audit programme and by personnel from the external company that supplies the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was approved in December 2008. A fire drill takes place six-monthly, the last held in February 2019. There is an evacuation policy on emergency and security situations and covers service groups at the facility. Earthquake and emergency procedures were observed throughout the facility. The orientation programme includes fire and security education. Staff confirmed their awareness of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current first aid certificates. There is always at least one staff member rostered on duty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Required fire equipment was sighted and all equipment had been checked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There are adequate supplies of water and food in the event of a civil defence emergency that meet the Ministry of Civil Defence and Emergency Management recommendations for the region. Blankets, cell phones and a gas BBQ are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Contractors must wear names badges and sign in and out of the facility. They are also made aware of any hazards on site. </w:t>
            </w:r>
          </w:p>
          <w:p w:rsidR="00EB7645" w:rsidRPr="00BE00C7" w:rsidP="00BE00C7">
            <w:pPr>
              <w:pStyle w:val="OutcomeDescription"/>
              <w:spacing w:before="120" w:after="120"/>
              <w:rPr>
                <w:rFonts w:cs="Arial"/>
                <w:b w:val="0"/>
                <w:lang w:eastAsia="en-NZ"/>
              </w:rPr>
            </w:pPr>
            <w:r w:rsidRPr="00BE00C7">
              <w:rPr>
                <w:rFonts w:cs="Arial"/>
                <w:b w:val="0"/>
                <w:lang w:eastAsia="en-NZ"/>
              </w:rPr>
              <w:t>The external doors are locked in the evenings and an external firm is contracted for security at night. Sensor lights are situated around the exterior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Heating is provided by heat pumps and panel heaters.  Residents are provided with safe ventilation and an environment that is maintained at a safe and comfortable temperature. Residents and families confirmed this. All resident areas are provided with natural light. A covered designated smoking area is provided outside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facility level with input from the FM.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FM is the designated infection control nurse coordinator, whose role and responsibilities are defined in a job description. Infection control matters, including surveillance results, are reported monthly to the FM and tabled at the quality/risk meeting. Infection control statistics are entered in the organisation’s electronic database and benchmarked within the organisation’s other facilities. The facility’s quality co-ordinator and FM are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and is being assisted by the FM.  The ICC has undertaken training in infection prevention and control and attended relevant study days, as verified in training records sighted. Well-established local networks with the infection control team at the DHB are available and expert advice from an external IC advisory company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FM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infection control experts, the FM and the ICC. Content of the training was documented and evaluated to ensure it was relevant, current and understood. A record of attendance was maintained. When an infection outbreak or an increase in infection incidence has occurred, there was evidence that additional staff education had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and FM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that the use of restraint is actively minimised. One resident was using a restraint compared with five at the last audit. Equipment used to reduce the use of restraint includes senor mats and low low beds. Four residents were using enablers during the audit. Residents’ files demonstrated the process for residents using enablers is the same as for the resident using restraint. </w:t>
            </w:r>
          </w:p>
          <w:p w:rsidR="00EB7645" w:rsidRPr="00BE00C7" w:rsidP="00BE00C7">
            <w:pPr>
              <w:pStyle w:val="OutcomeDescription"/>
              <w:spacing w:before="120" w:after="120"/>
              <w:rPr>
                <w:rFonts w:cs="Arial"/>
                <w:b w:val="0"/>
                <w:lang w:eastAsia="en-NZ"/>
              </w:rPr>
            </w:pPr>
            <w:r w:rsidRPr="00BE00C7">
              <w:rPr>
                <w:rFonts w:cs="Arial"/>
                <w:b w:val="0"/>
                <w:lang w:eastAsia="en-NZ"/>
              </w:rPr>
              <w:t>The FM is the restraint coordinator and demonstrated good knowledge relating to restraint minimisation and safe practice. The FM stated the aim is to have a restraint free environment at Masonic Court. The restraint and enabler registers were current. The policies and procedures have definitions of restraints and enablers in line with the standard.  Staff demonstrated good knowledge about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in place for determining the restraint approval processes. The restraint coordinator and staff interviewed and the resident’s file evidenced responsibilities were identified and known. The resident’s file of the one person using a restraint evidenced the resident and family input into the restraint approval processes. There was a documented, formal process for the approval of specific restraint processes at the policy/procedure level.  The approval group forms part of the quality meetings and discussion includes education and competencies, equipment, and the use of restraint.</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were aware of the restraint co-ordinator’s responsibilities. Policy/procedures define approved restraints and alternatives to restraint with strategies to minimise the use of restraint and management of challenging behaviour. The orientation/induction programme includes overview of restraint policies/procedures.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in place that ensure assessments of residents are undertaken prior to restraint usage being implemented. The resident’s file demonstrated restraint assessment and risk processes were being followed. The assessment is based on the standard.</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 evidenced restraint assessment risks were documented and included resident and/or family input. The care plan evidenced restraint assessment risks were reviewed. Care staff demonstrated a sound knowledge concerning restraint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ensure the service is using restraint safely. The restraint policies and procedures identify risk processes that are to be followed when a resident is being restrained. The resident’s file evidenced evaluations, review of restraint goals and interventions that were current. </w:t>
            </w:r>
          </w:p>
          <w:p w:rsidR="00EB7645" w:rsidRPr="00BE00C7" w:rsidP="00BE00C7">
            <w:pPr>
              <w:pStyle w:val="OutcomeDescription"/>
              <w:spacing w:before="120" w:after="120"/>
              <w:rPr>
                <w:rFonts w:cs="Arial"/>
                <w:b w:val="0"/>
                <w:lang w:eastAsia="en-NZ"/>
              </w:rPr>
            </w:pPr>
            <w:r w:rsidRPr="00BE00C7">
              <w:rPr>
                <w:rFonts w:cs="Arial"/>
                <w:b w:val="0"/>
                <w:lang w:eastAsia="en-NZ"/>
              </w:rPr>
              <w:t>The one resident’s file reviewed demonstrated appropriate alternative interventions were implemented and de-escalation attempted prior to initiating restraint. The restraint consent by resident and the family was current. The restraint register is current and provided sufficient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processes are documented in the restraint minimisation and safe practice policy. The resident’s file reviewed evidenced each episode of restraint is monitored. Restraint use is evaluated three monthly, and the form used is based on the standard. Restraint is included in the quality, RN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reviewed monthly by the quality/education coordinator and entered into an electronic restraint/enabler analysis report. Restraint and enabler use is reported to the FM monthly by the quality/education coordinator. Audits of restraint are included in the audit programme. Policies and procedures include monitoring and quality review processes. Staff have received education relating to restraints and enablers and restraint competencies were current.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6607"/>
        <w:gridCol w:w="46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Masonic Court in conjunction with the local hospice has implemented the supportive education and quality palliative care(SEQUAL) programme. The objective was to ensure primary palliative care and the palliative approach to residential care is delivered, measurable and sustainable. The vision is that ‘all people with life limiting conditions live well and die well irrespective of their condition or care setting’.  </w:t>
            </w:r>
          </w:p>
          <w:p w:rsidR="00EB7645" w:rsidRPr="00BE00C7" w:rsidP="00BE00C7">
            <w:pPr>
              <w:pStyle w:val="OutcomeDescription"/>
              <w:spacing w:before="120" w:after="120"/>
              <w:rPr>
                <w:rFonts w:cs="Arial"/>
                <w:b w:val="0"/>
                <w:lang w:eastAsia="en-NZ"/>
              </w:rPr>
            </w:pPr>
            <w:r w:rsidRPr="00BE00C7">
              <w:rPr>
                <w:rFonts w:cs="Arial"/>
                <w:b w:val="0"/>
                <w:lang w:eastAsia="en-NZ"/>
              </w:rPr>
              <w:t>Although palliative care was being provided, it was inconsistent. Staff had varying degrees of knowledge and comfort relating to the topic. Families had identified verbally that they would have liked more time to consider options and plan in the event of end of life and wanted to know what to expect.</w:t>
            </w:r>
          </w:p>
          <w:p w:rsidR="00EB7645" w:rsidRPr="00BE00C7" w:rsidP="00BE00C7">
            <w:pPr>
              <w:pStyle w:val="OutcomeDescription"/>
              <w:spacing w:before="120" w:after="120"/>
              <w:rPr>
                <w:rFonts w:cs="Arial"/>
                <w:b w:val="0"/>
                <w:lang w:eastAsia="en-NZ"/>
              </w:rPr>
            </w:pPr>
            <w:r w:rsidRPr="00BE00C7">
              <w:rPr>
                <w:rFonts w:cs="Arial"/>
                <w:b w:val="0"/>
                <w:lang w:eastAsia="en-NZ"/>
              </w:rPr>
              <w:t>Staff were consulted and agreed to undertake the programme and training with six weekly meetings on site lead by hospice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hospice team completed a documentation review pre and post project. Post project showed improvement in all measurable areas of documentation; showing anticipatory medications being charted, advance care plan discussions occurring, and no transfers to hospital for end of life (EOL) management.  A palliative approach to care (PAC) has been incorporated into documentation and includes quality targets. The PAC philosophy links with the Te Whare Tapa Whā philosophy.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project resulted in the end of life wishes documented in residents’ files, 100% of anticipated deaths having an end of life care plan in place, anticipatory conversations taking place in a supported environment with GPs involved as required, anticipatory medications charted for symptom management, so the need for transfer to a DHB hospital is not required. A family survey was developed that is sent out three months post death. Surveys received showed very positive results indicating the changed approach to end of life care has made a difference. Interviews with the FM, staff, nurse practitioners and a hospice RN confirmed this. A staff survey by SEQUAL indicated gains in confidence with care and conversations. Strong working relationships have developed with the local hospice and the facility’s GPs.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project has facilitated improved end of life outcomes for residents and their families with support from the local hospice and the facility’s GPs. Residents to date have not been transferred to the DHB hospital.  Family feedback has been very positive with reports that the enhanced approach to end of life care has made a difference in understanding the processes involved. Staff have a better understanding of the palliative approach to care and stated they are more confident and comfortable with initiating end of life care and discussing this with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in place at Masonic to promote continuity of care, such as detailed progress notes, a verbal handover at the start of each shift, and written handover sheets, however lack of afterhours medical coverage was compromising continuity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Masonic offers all residents a choice of who to use as a GP.  Nearly all residents choose to remain with their own GP. This has resulted in Masonic being serviced by 29 different GPs. Most of those GPs provided no access to afterhours services, resulting in Masonic staff having to send residents to the MidCentral DHB (MCDHB) for attention to medical issues that could have been managed at Masonic if a GP or NP was available. Between August 2018-February 2019 there were 25 admissions to the MCDHB, and 18 of these could have been managed at Masonic if a GP or NP was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GPs/NPs caring for residents at Masonic were contacted by the FM to clarify with them the arrangements they have for afterhours cover. This information was then collated into a single document held at Masonic which identifies each GP’s afterhours arrangement and processes, and whom to contact if afterhours services are required. </w:t>
              <w:br/>
              <w:t>The Elder Health Team has been involved in assisting with clarification of afterhours arrangements. Clear guidelines are now in place. This has resulted in no unnecessary admissions to the MDHB since February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initiative to ensure GP/NP services can be accessed after hours by Masonic has resulted in no unnecessary admissions to the MCDHB since February-2019.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analysis of falls data between January and March 2019, identified that, of the 29 falls in the rest home, 21 of those were on a Thursday, Saturday or Sunday morning. A review of the care planning system identified on these days there was a greater number of residents requesting showers than on the other four days. All these falls involved seven residents. A review of staffing levels and the staff on those duties could not be identified as a contributing factor. An analysis of the data identified the falls related to activities preceding the shower or within a short time after, mainly toileting or dressing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this finding, the number of showers in the morning on Thursday, Saturday and Sunday morning was reduced.  A resident passport was developed, and an individualised showering regime was developed, that details days and times of showers. Shower times were allocated in the passport so residents could ‘plan’ and were not put in a position of not knowing what time they would have their shower and having to rush at the last minute.  The regime reduced the high number of showers at one time, minimising the number of staff occupied with resident showers and unable to answer bells. </w:t>
            </w:r>
          </w:p>
          <w:p w:rsidR="00EB7645" w:rsidRPr="00BE00C7" w:rsidP="00BE00C7">
            <w:pPr>
              <w:pStyle w:val="OutcomeDescription"/>
              <w:spacing w:before="120" w:after="120"/>
              <w:rPr>
                <w:rFonts w:cs="Arial"/>
                <w:b w:val="0"/>
                <w:lang w:eastAsia="en-NZ"/>
              </w:rPr>
            </w:pPr>
            <w:r w:rsidRPr="00BE00C7">
              <w:rPr>
                <w:rFonts w:cs="Arial"/>
                <w:b w:val="0"/>
                <w:lang w:eastAsia="en-NZ"/>
              </w:rPr>
              <w:t>Between April and June 2019, total falls in the rest home was reduced to eight. Only two of the seven ‘high risk fallers’ noted in the January-March results had falls. The falls related to one-off accidents, that were being managed on an individual basis.  Feedback from residents was positive around feeling in control of when they have their shower and the time they can have them. Residents do not feel rushed. Care staff have more time to attend to residents and can plan, and shower residents at the time noted in the passport as the number of showers are reduced in the morning.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analysis of falls data, has identified that a change in the care planning regime has reduced the incidents of falls in the rest home at Masonic.</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Masonic Court Rest Home and Hospital</w:t>
    </w:r>
    <w:bookmarkEnd w:id="58"/>
    <w:r>
      <w:rPr>
        <w:rFonts w:cs="Arial"/>
        <w:sz w:val="16"/>
        <w:szCs w:val="20"/>
      </w:rPr>
      <w:tab/>
      <w:t xml:space="preserve">Date of Audit: </w:t>
    </w:r>
    <w:bookmarkStart w:id="59" w:name="AuditStartDate1"/>
    <w:r>
      <w:rPr>
        <w:rFonts w:cs="Arial"/>
        <w:sz w:val="16"/>
        <w:szCs w:val="20"/>
      </w:rPr>
      <w:t>18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