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Experion Care NZ Limited - Bardowie Retirement Complex</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Q-Audit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Experion Care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Bardowie Retirement Complex</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July 2019</w:t>
      </w:r>
      <w:bookmarkEnd w:id="7"/>
      <w:r w:rsidRPr="009418D4">
        <w:rPr>
          <w:rFonts w:cs="Arial"/>
        </w:rPr>
        <w:tab/>
        <w:t xml:space="preserve">End date: </w:t>
      </w:r>
      <w:bookmarkStart w:id="8" w:name="AuditEndDate"/>
      <w:r w:rsidR="00A4268A">
        <w:rPr>
          <w:rFonts w:cs="Arial"/>
        </w:rPr>
        <w:t>5 July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Bardowie Retirement Complex is one of two facilities owned by the Experion Care NZ Limited in the Hawkes Bay and provides rest home care for up to 19 residents. The service is operated by Experion Care NZ Limited and co-managed by two nurse managers. The conversion of one resident room to a nurse managers office has resulted in the reduction of residents’ beds from 20 to 19 since the last audit. There were 17 residents at the time of audit. Residents and families spoke positively about the care provided. </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No areas were identified as requiring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If a resident should identify as Māori, a plan is in place to ensure their needs met in a manner that respects their cultural values and beliefs. There is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 There are no outstanding complaints.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Experienced and suitably qualified persons manage the facility. </w:t>
      </w:r>
    </w:p>
    <w:p w:rsidRPr="00A4268A">
      <w:pPr>
        <w:spacing w:before="240" w:line="276" w:lineRule="auto"/>
        <w:rPr>
          <w:rFonts w:eastAsia="Calibri"/>
        </w:rPr>
      </w:pPr>
      <w:r w:rsidRPr="00A4268A">
        <w:rPr>
          <w:rFonts w:eastAsia="Calibri"/>
        </w:rPr>
        <w:t>The quality and risk management system include collection and analysis of quality improvement data that identifies trends and leads to improvements. Adverse events are documented with corrective actions implemented. Actual and potential risks, including health and safety risks, are identified and mitigated. Policies and procedures support service delivery and are current and reviewed regularly. Feedback is regularly sought from residents and families.</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Services are coordinated in a manner that promotes continuity in service delivery and promotes a team approach to care delivery. The processes for assessment, planning, provision, evaluation, review and exit are provided within time frames that meet the needs of the residents. Residents have interRAI assessments completed and individualised care plans developed. Changes to the resident’s needs result in a short-term plan development and integrated into a long-term plan if condition becomes chronic. All long-term care plans are evaluated at least six monthly. </w:t>
      </w:r>
    </w:p>
    <w:p w:rsidRPr="00A4268A" w:rsidP="00621629">
      <w:pPr>
        <w:spacing w:before="240" w:line="276" w:lineRule="auto"/>
        <w:rPr>
          <w:rFonts w:eastAsia="Calibri"/>
        </w:rPr>
      </w:pPr>
      <w:r w:rsidRPr="00A4268A">
        <w:rPr>
          <w:rFonts w:eastAsia="Calibri"/>
        </w:rPr>
        <w:t xml:space="preserve">The service provides planned activities meeting the needs and interests of the residents as individuals and in group settings. </w:t>
      </w:r>
    </w:p>
    <w:p w:rsidRPr="00A4268A" w:rsidP="00621629">
      <w:pPr>
        <w:spacing w:before="240" w:line="276" w:lineRule="auto"/>
        <w:rPr>
          <w:rFonts w:eastAsia="Calibri"/>
        </w:rPr>
      </w:pPr>
      <w:r w:rsidRPr="00A4268A">
        <w:rPr>
          <w:rFonts w:eastAsia="Calibri"/>
        </w:rPr>
        <w:t>The food service provides and caters for residents. Specific dietary likes and dislikes are accommodated. The service has a four-week rotating menu which has been approved by a registered dietitian. Residents’ nutritional requirements are met. A food control plan was in place.</w:t>
      </w:r>
    </w:p>
    <w:p w:rsidRPr="00A4268A" w:rsidP="00621629">
      <w:pPr>
        <w:spacing w:before="240" w:line="276" w:lineRule="auto"/>
        <w:rPr>
          <w:rFonts w:eastAsia="Calibri"/>
        </w:rPr>
      </w:pPr>
      <w:r w:rsidRPr="00A4268A">
        <w:rPr>
          <w:rFonts w:eastAsia="Calibri"/>
        </w:rPr>
        <w:t>An appropriate medicine administration system was observed at the time of audit. Medicines are administered by staff with current competencies.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is clean and well maintained. There is a current building warrant of fitness. Electrical and health related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regularly for effectiveness.</w:t>
      </w:r>
    </w:p>
    <w:p w:rsidRPr="00A4268A">
      <w:pPr>
        <w:spacing w:before="240" w:line="276" w:lineRule="auto"/>
        <w:rPr>
          <w:rFonts w:eastAsia="Calibri"/>
        </w:rPr>
      </w:pPr>
      <w:r w:rsidRPr="00A4268A">
        <w:rPr>
          <w:rFonts w:eastAsia="Calibri"/>
        </w:rPr>
        <w:t>Staff are trained in emergency procedures, use of emergency equipment and supplies. Fire evacuation procedures are regularly practised. Residents reported a timely staff response to call bells.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No restraints nor enablers were in use at the time of audit. Enabler use is voluntary for the safety of residents in response to individual requests. Restraint is only used as a last resort when all other options have been explored. Staff interviewed demonstrated a sound knowledge and understanding of the restraint and enabler processes and receive ongoing education.</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management system minimises the risk of infection to residents, visitors and other service providers. The infection control coordinator is responsible for co-ordinating education and training of staff. Infection data is collated monthly, analysed and reported during staff meetings. The infection control surveillance and associated activities are appropriate for the size and complexity of the service.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58"/>
        <w:gridCol w:w="1280"/>
        <w:gridCol w:w="880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Bardowie Retirement Complex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 that informed consent has been gained appropriately using the organisation’s standard consent form if and when required. Advance care planning, establishing and documenting enduring power of attorney requirements and processes for residents unable to consent is defined and documented, as relevant, in the resident’s record. Staff were observed to gain verbal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the facilities compendium, which includes a copy of the Code and information on Advocacy Service. Posters and brochures related to the Advocacy Service were displayed and available in the facility. Family members and residents spoken with were aware of the Advocacy Service, how to access this and their right to have support persons. A nurse manager provided examples of the involvement of Advocacy Services in relation to one complaint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shopping trips, and other arranged activities.</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and friends. Family members interviewed stated they felt welcome when they visited and comfortable in their dealings with all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one complaint has been received over the past year and that actions taken, through to an agreed resolution with the assistance of advocacy services, are documented and completed within the timeframes.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Action plans show any required follow up and improvements have been made where possible. The nurse managers are responsible for complaints management and follow up.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 being made aware of the Code and the Nationwide Health and Disability Advocacy Service (Advocacy Service) as part of the admission information provided. The Code is displayed in the main corridor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maintain privacy throughout the audit. All residents have a private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community activities, and participation in community activities of their choosing. Such as local church groups, Returned Service Association (RSA) and arranged complex van rides.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was confirmed to occur during orientation and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principles of the Treaty of Waitangi are incorporated into day to day practice, as is the importance of whānau. There is a current Māori health plan developed with documented linkage to Matachiwi marae and a local kaumatua. Guidance on tikanga best practice is available and is supported by staff who identify as Māori in the facility. No residents identify themselves as Māori. One staff member identified as Māori and report when working in the diversional therapist role frequently greets residents in Te Reo. Residents acknowledge this and frequently reply in Te Reo.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The resident satisfaction survey and meeting minutes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palliative care team,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the patient compendium, which contains the resident admission booklet with information such as the facilities mission, staffing advocacy services and complaints/compliments form. The resident walking group, which allows residents to complete a short local walk together daily.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and verified by incident forms reviewed. </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interpreter services, although reported this was infrequently required due to, all residents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direction and goals of the organisation. The document (dated 2018-2020) describes the annual objectives and the associated operational plans. A sample of monthly reports to the executive director (owner) show adequate information to monitor performance and includes, key performance issues, such as incidents, falls and skin tears and any known emerging risks.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comanaged by two part time nurse managers, ensuring both onsite and after-hours registered nurse coverage. Both have been in the role since December 2016. Responsibilities and accountabilities are defined in a job description and individual employment agreements. The nurse mangers confirmed one is clinically focused, while the other focuses in the quality, human resource management and the business aspects of the facility. The nurse managers confirm knowledge of the sector, regulatory and reporting requirements and maintain currency through education related to residential aged care management.</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DHB, MoH for, complex medical conditions and mental health. At the time of audit 17 residents were receiving services under the contract, there was one resident under the age of 65 years, under long-term service agreement with the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nurse mangers ensure the facility is always covered, including an on-call after hours roster system. During absences of key clinical staff, the clinical management is overseen by a senior carer who is experienced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robust quality and risk system that reflects the principles of continuous quality improvement. This includes the management of incidents and complaints, audit activities, a regular patient survey, monitoring of outcomes, clinical incidents including infections and a continuous improvement programme.</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such as falls, skin tears, medication errors and that related information is reported and discussed at the staff meetings and to the executive director in monthly reports. Staff reported their involvement in quality and risk management activities through incident form completion, staff meetings, verbal feedback and completion of the maintenance issue register. The most recent resident satisfaction survey (March 2019) dated indicated high satisfaction with the care received. Resident meetings are held every two months, corrective actions from issues raised are presented at the next meeting.</w:t>
            </w:r>
          </w:p>
          <w:p w:rsidR="00EB7645" w:rsidRPr="00BE00C7" w:rsidP="00BE00C7">
            <w:pPr>
              <w:pStyle w:val="OutcomeDescription"/>
              <w:spacing w:before="120" w:after="120"/>
              <w:rPr>
                <w:rFonts w:cs="Arial"/>
                <w:b w:val="0"/>
                <w:lang w:eastAsia="en-NZ"/>
              </w:rPr>
            </w:pPr>
            <w:r w:rsidRPr="00BE00C7">
              <w:rPr>
                <w:rFonts w:cs="Arial"/>
                <w:b w:val="0"/>
                <w:lang w:eastAsia="en-NZ"/>
              </w:rPr>
              <w:t>Polices reviewed cover all necessary aspects of the service and contractual requirements. Policies are provided by an external contractor and have been personised to the service. A document control system is maintained in the policies and procedure folder and ensures a two-yearly review process is completed. Staff have access to hard copies of documents and are located, in the specific areas of use.</w:t>
            </w:r>
          </w:p>
          <w:p w:rsidR="00EB7645" w:rsidRPr="00BE00C7" w:rsidP="00BE00C7">
            <w:pPr>
              <w:pStyle w:val="OutcomeDescription"/>
              <w:spacing w:before="120" w:after="120"/>
              <w:rPr>
                <w:rFonts w:cs="Arial"/>
                <w:b w:val="0"/>
                <w:lang w:eastAsia="en-NZ"/>
              </w:rPr>
            </w:pPr>
            <w:r w:rsidRPr="00BE00C7">
              <w:rPr>
                <w:rFonts w:cs="Arial"/>
                <w:b w:val="0"/>
                <w:lang w:eastAsia="en-NZ"/>
              </w:rPr>
              <w:t>A nurse manager described the processes for the identification, monitoring, review and reporting of risks, hazards and development of mitigation strategies.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incident form. A sample of incidents forms reviewed showed these were fully completed, incidents were investigated, action plans developed and actions followed-up in a timely manner. Adverse event data is collated and analysed, such as falls this includes the time and where in the facility it happened. Numbers are maintained on a run chart. This data allows the facility to see if there are any direct linkages between the falls, a resident’s medical condition and staffing ratios. Changes are implemented depending on the outcome of the investigation and reported through to the staff at meetings and to the executive director.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that they are made aware of their responsibilities in this regard during their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nurse manager described essential notification reporting requirements, including for pressure injuries. They advised there have been no notifications of significant events made to the Ministry of Health, since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hazard and risk register that identifies the hazards in the facility and delivery of services and includes minimization strategies. A hazard and risk register are maintained in service delivery areas such as the kitchen and laundry. The internal auditing system includes hazards checklists and environmental inspections to monitor on-going compliance.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retention is high and a position at the facility is rare. Staff records reviewed show documentation of completed orientation.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Care staff have either completed or commenced a New Zealand Qualification Authority education programme to meet the requirements of the provider’s agreement with the DHB. A nurse manager is the internal assessor for the programme. Both nurse managers are trained and maintain their annual competency requirements to undertake interRAI assessments. At audit, the nurse managers’ report an issue login into the Momentum electronic database interRAI system, that has unable to be resolved at a local level. All care plans for the residents are current. </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demonstrated completion of annual performance appraisals. Staff interviewed reported that they had good access to education and found the programme relevant to their work.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access to advice is available when needed. Care staff reported there were adequate staff available to complete the work allocated to them. Residents and family interviewed supported this. Observations and review of a roster confirmed adequate staff cover has been provided, with staff replaced in any unplanned absence. At least one staff member on duty has a current first aid certificate and there is 24//7 registered nurse coverage.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addition to carer staff, there are sufficient numbers of activities coordinators, cooking, cleaning, laundry administration and maintenance staff to meet the needs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reported that there was, enough staff to provide them or their relative with adequate care. Observations during the audit confirmed adequate staff cover 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are held for the required period before being destroyed. </w:t>
            </w:r>
          </w:p>
          <w:p w:rsidR="00EB7645" w:rsidRPr="00BE00C7" w:rsidP="00BE00C7">
            <w:pPr>
              <w:pStyle w:val="OutcomeDescription"/>
              <w:spacing w:before="120" w:after="120"/>
              <w:rPr>
                <w:rFonts w:cs="Arial"/>
                <w:b w:val="0"/>
                <w:lang w:eastAsia="en-NZ"/>
              </w:rPr>
            </w:pPr>
            <w:r w:rsidRPr="00BE00C7">
              <w:rPr>
                <w:rFonts w:cs="Arial"/>
                <w:b w:val="0"/>
                <w:lang w:eastAsia="en-NZ"/>
              </w:rPr>
              <w:t>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Bardowie Retirement Complex resident admission booklet contains all information about entry to the service and entries are recorded on the pre-enquiry form. Assessments and entry screening processes are documented and clearly communicated to the family/whanau of choice where appropriate, local communities and referral agencies. Files sampled contained completed demographic detail, assessments and signed admission agreements in accordance with contractual requirements. Service charges comply with contractual requirements. Family/whanau members interviewed stated they were satisfied with the admission process and the information that had been made available to them on admission.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The service uses the DHB’s (yellow envelope) system to facilitate transfer of residents to and from acute care services. There is open communication between all services, the resident and the family. At the time of transition appropriate information is supplied to the person/facility responsible for the ongoing management of the resident. All referrals are recorded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A safe system for medicine management using a paper-based system was observed on the day of audit. Three monthly medicine reviews are completed by the GP. Discontinued medications are signed and dated by the GP. Indications for use are noted on as required medications, allergies are clearly documented, and photos are current. Medication charts are legibly written. </w:t>
            </w:r>
          </w:p>
          <w:p w:rsidR="00EB7645" w:rsidRPr="00BE00C7" w:rsidP="00BE00C7">
            <w:pPr>
              <w:pStyle w:val="OutcomeDescription"/>
              <w:spacing w:before="120" w:after="120"/>
              <w:rPr>
                <w:rFonts w:cs="Arial"/>
                <w:b w:val="0"/>
                <w:lang w:eastAsia="en-NZ"/>
              </w:rPr>
            </w:pPr>
            <w:r w:rsidRPr="00BE00C7">
              <w:rPr>
                <w:rFonts w:cs="Arial"/>
                <w:b w:val="0"/>
                <w:lang w:eastAsia="en-NZ"/>
              </w:rPr>
              <w:t>The caregiver was observed administering medications safely and correctly. The medication and associated documentation are stored safely, and medication reconciliation is conducted by nurse managers when a resident is transferred back to service. The nurse manager checks medications against the prescription and all medicines sighted were within current use by dates. Expired medications are returned to the pharmacy in a timely manner. The controlled drug register is current and correct. Weekly and six-monthly stock takes are conducted, and all medications are stored appropriately. Records of medication fridge temperature monitoring were sighted, and the service does not store any vaccines onsite.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self-administering medications. Self-medication administration policies and procedures are in place. </w:t>
            </w:r>
          </w:p>
          <w:p w:rsidR="00EB7645" w:rsidRPr="00BE00C7" w:rsidP="00BE00C7">
            <w:pPr>
              <w:pStyle w:val="OutcomeDescription"/>
              <w:spacing w:before="120" w:after="120"/>
              <w:rPr>
                <w:rFonts w:cs="Arial"/>
                <w:b w:val="0"/>
                <w:lang w:eastAsia="en-NZ"/>
              </w:rPr>
            </w:pPr>
            <w:r w:rsidRPr="00BE00C7">
              <w:rPr>
                <w:rFonts w:cs="Arial"/>
                <w:b w:val="0"/>
                <w:lang w:eastAsia="en-NZ"/>
              </w:rPr>
              <w:t>The staff interviewed demonstrated good knowledge and had a clear understanding of their roles and responsibilities related to each stage of medicine management. All staff who administer medicines are competent to perform the function they manage. The last medication audit was conducted on 1 April 2019 and corrective actions were acted upon.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and managed by two cooks and is in line with recognised nutritional guidelines for older people. The menu follows summer and winter patterns and has been reviewed by a registered dietitian on 4 September 2018.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control plan and registration issued on 19 June 2019. Labels and dates are on all containers and records of food temperature monitoring, fridges and freezers temperatures are maintained. Regular cleaning is conducted. Kitchen staff have safe food handling qualifications and completed relevant food handling training. The residents’ weights are monitored monthly and supplements are provided to residents with identified weight loss issues.</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Any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were given enough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Where a referral is received but the prospective resident does not meet the entry criteria or there is no vacancy, the local needs assessment and service coordination team (NASC) is advised to ensure the prospective resident and family/whanau are supported to find an appropriate care alternative. If the needs of a resident change and they are no longer suitable for the services offered, a referral for reassessment to the NASC team is made and a new placement found, in consultation with the resident and family/whanau.</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initial assessments are completed within the required time frame on admission while care plans and interRAI are completed within three weeks according to policy. Assessments are completed to identify any deficits and to inform care planning. The sample of care plans reviewed had an integrated range of resident-related information. These were detailed and include input from the family/whanau and other health team members as appropriate. In interviews, residents and relatives expressed satisfaction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are resident focussed, integrated and provide continuity of service delivery. Care plans sampled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Any change in care required is documented and verbally passed on to relevant staff. The service develops care plans for residents admitted needing palliative/end of life care and mental health services. These are regularly reviewed. Residents and families reported participation in the development and ongoing evaluation of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corroborated that the provision of care provided to residents was consistent with their needs, goals and the plan of care. The attention to meeting a diverse range of residents’ individualised needs was evident in all areas of service provision. The nurse manager reported that care plans for residents assessed as needing palliative/end of life care and mental health services are developed in consultation with the local district health board specialists. The GP interviewed, reported that medical input is sought in a timely manner, that medical orders are followed, and care is person centred.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the diversional therapist (DT) and an assistant coordinator. Social history and assessments are undertaken on admission to ascertain residents’ needs, interests, abilities and social requirements. Activities assessments are regularly reviewed to help formulate an activity programme that is meaningful to the residents. The resident’s activity needs are evaluated when there is any change in condition and as part of the formal six-monthly care plan review. The DT reported that they attend three monthly DT Hawkes Bay meetings where information and experiences are shared. Minutes of the meetings were sighted.</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 residents’ goals, ordinary patterns of life and include normal community activities. Individual, group activities and regular events are offered. There is a monthly budget set for activities, and this is utilised as when needed. Residents under 65 years of age are catered for if they want to engage in their own preferred activities. Residents and families/whanau are involved in evaluating and improving the programme through residents’ meetings, word of mouth and satisfaction surveys. The last resident meeting was held on 21 May 2019. Residents interviewed expressed satisfaction with the planned activities programme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If any change is noted, it is reported to the nurse managers to further investigate. Formal care plan evaluations occur every six months in conjunction with the six-monthly interRAI reassessment, or as residents’ needs change. Where progress is different from expected, the service responds by initiating changes to the plan of care. Evidence of short-term care plans being consistently reviewed, and progress evaluated as clinically indicated were sighted. Unresolved problems where necessary are noted on the long-term care plans with detailed interventions to address the problems. Residents and families/whanau interviewed confirmed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If the need for other non-urgent services are indicated or requested, the GP or nurse managers sends a referral to seek specialist service provider assistance from the local district board. Referrals are followed up on a regular basis by the nurse managers or the GP. The resident and the family are kept informed of the referral process, as verified by documentation and interviews. Acute or urgent referrals are attended to and the resident transferred to public hospital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local contractor and kerb side local council collection is used for the removal of all non-hazardous waste. Staff follow documented processes for the management of waste and infectious and hazardous substances. Appropriate signage is displayed where necessary.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external company is contracted to supply and manage all chemicals and cleaning products. Material safety data sheets were available where chemicals are stored, and staff interviewed knew what to do should any chemical spill 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June 2020)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is current as confirmed in documentation reviewed. Observation of the environment and equipment verified all equipment is current. Staff ensure the environment is hazard free, to ensure residents are safe, and independence is promoted.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Staff confirmed they know the processes they should follow if any repairs or maintenance is required, any requests are appropriately actioned and reported through at staff and resident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Each resident room has an ensuite consisting of a toilet and hand basin. There are three communal bathrooms for showering. Appropriately secured and approved handrails are provided in the toilet and shower areas along with other equipment and accessories to promote resident independence.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and additional wheelchairs.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Corridors overlook a courtyard garden area., where residents can maintain their own personal garden if they wish.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Dedicated laundry staff member demonstrated a sound knowledge of the laundry processes, dirty/clean flow and handling of soiled linen. Residents and family members interviewed reported the laundry is managed well and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There is one designated cleaning staff member (Monday to Friday) who received appropriate training, as confirmed in an interview and training records. Carers undertaken cleaning duties as if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Chemicals were stored in a lockable cupboard in the laundry area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 with any issues identified addressed at the staff meetings or at the time. Meeting minutes and an action plan verified this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The emergency and business defence planning guides (May 2019) and directs the facility in their preparation for disasters and describes the procedures to be followed in the event of a fire or other emergencies. A trial evacuation takes place six-monthly, with a copy sent to the New Zealand Fire Service, the most recent being June 2019.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were sighted and meet the requirements for the residents. A water storage tank is located at the back of the complex.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Residents may enter or leave the premises at any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and many have doors that open onto an outside courtyard. Heating is provided by wall heaters in residents’ rooms and in the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Bardowie Retirement Complex implements an infection prevention and control programme to minimise the risk of infection to residents, staff and visitors. The nurse manager is the designated infection control coordinator (ICC), whose role and responsibilities are defined in a job description. ICC has access to external specialist advice from a GP and DHB infection control specialists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reviewed annually and is incorporated in the monthly meetings and a review of the education programme is conducted. Staff are made aware of new infections through daily handovers on each shift and progress notes. The infection control programme is appropriate for the size and complexity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There are processes in place to isolate infectious residents when required. Hand sanitisers and gels are available for residents, staff and visitors to use. There have been no outbreaks documented since the last audit and infection control guidelines are adhered to. Staff interviewed demonstrated an understanding of the infection prevention and control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has appropriate skills, knowledge and qualifications for the role. The ICC is responsible for implementing the infection control programme and indicated there are adequate human, physical, and information resources to implement the programme. Infection control reports are discussed at the staff meetings. The ICC has access to all relevant resident data to undertake surveillance, internal audits and investigations respectively.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policies reflect the requirements of the infection prevention and control standards and current accepted good practice. Policies and procedure were reviewed. Care delivery, cleaning, laundry and kitchen staff were observed following organisational policies, such appropriate use of hand-sanitisers, good hand washing technique and use of disposable aprons and gloves. Hand washing and sanitiser dispensers are readily available around the facility. Staff demonstrated knowledge on the requirements of standard precautions and able to locate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education on infection prevention and control is conducted by the ICC and other specialist consultants. The ICC attended an infection prevention and control training conducted by the external consultant. Infection control hand washing training was conducted on 22 May 2019 and seven staff members attended. A record of attendance was maintained and sighted. The training education is detailed and meets best practice and guidelines. Residents are reminded on infection control practices during residents’ meetings or as when required. External contact resources include GP, laboratories and local district health boards. Staff interviewed confirmed an understanding of how to implement infection prevention and control activities into their everyday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surveillance programme is appropriate for the size and complexity of the organisation. Infection data is collected, monitored and reviewed monthly. The data is collated and analysed to identify any significant trends or common possible causative factors and action plans are instigated. New infections and any required management plans are discussed at handover, to ensure early interventions occurs. The GP is informed within the required time frame when a resident has an infection and appropriate antibiotics are prescribed to combat the infection respectively. Surveillance programme is reviewed during the infection control programme review.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is committed to prompting a restraint free environment and to provide the staff with good guidelines to enable them to prevent the need for restraint. Restraint is only used as a last resort and staff receive adequate training to enable them to make informed decisions. All staff receive education regarding restraint minimisation and management of challenging behaviours. Staff interviewed were clear regarding the difference between a restraint and enabler use. The service currently has no residents using restraint or enablers. A restraint register was sighted.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Experion Care NZ Limited - Bardowie Retirement Complex</w:t>
    </w:r>
    <w:bookmarkEnd w:id="58"/>
    <w:r>
      <w:rPr>
        <w:rFonts w:cs="Arial"/>
        <w:sz w:val="16"/>
        <w:szCs w:val="20"/>
      </w:rPr>
      <w:tab/>
      <w:t xml:space="preserve">Date of Audit: </w:t>
    </w:r>
    <w:bookmarkStart w:id="59" w:name="AuditStartDate1"/>
    <w:r>
      <w:rPr>
        <w:rFonts w:cs="Arial"/>
        <w:sz w:val="16"/>
        <w:szCs w:val="20"/>
      </w:rPr>
      <w:t>4 July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