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Karadean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Karadean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June 2019</w:t>
      </w:r>
      <w:bookmarkEnd w:id="7"/>
      <w:r w:rsidRPr="009418D4">
        <w:rPr>
          <w:rFonts w:cs="Arial"/>
        </w:rPr>
        <w:tab/>
        <w:t xml:space="preserve">End date: </w:t>
      </w:r>
      <w:bookmarkStart w:id="8" w:name="AuditEndDate"/>
      <w:r w:rsidR="00A4268A">
        <w:rPr>
          <w:rFonts w:cs="Arial"/>
        </w:rPr>
        <w:t>12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Karadean Court provides rest home, residential disability and hospital level care for up to 53 residents. The service is operated by Ultimate Care Group and managed by a facility manager who has a dual role of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identified areas requiring improvement relating to open disclosure, adverse event reporting, staff training, assessments and care plans, medication management and infection data.  Improvements have been made to the monitoring of residents’ weights addressing the area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some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were in use at the time of audit. Use of enablers is voluntary for the safety of residents in response to individual requests. No restraints were in use.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48"/>
        <w:gridCol w:w="1280"/>
        <w:gridCol w:w="10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Karadean Court’s complaints policy and associated forms meet the requirements of Right 10 of the Code of Health and Disability Services Consumers’ Rights (the Code).  Information on the complaint process is provided to residents and families on admission and those interviewed knew how to do so.  There are additional forms available at the front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 complaints have been received over the past year and that actions taken, through to an agreed resolution, are documented and completed within the timeframes.  Action plans showed any required follow up and improvements have been made where possible. The facility manager (FM) is responsible for complaints management and follow up. All staff interviewed confirmed a sound understanding of the complaint process and what actions are required. There has been one complaint received from external sources since the previous audit. This is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usually kept well informed about any changes to their/their relative’s status, however, two family said they were not always informed about events at the time of occurrence.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Group’s strategic and business plans, which are reviewed annually, outline the purpose, values, scope, direction and goals of the organisation. There are Karadean Court specific goals included. The documents described annual and longer-term objectives and the associated operational plans. A sample of monthly reports to head office showed adequate information to monitor performance is reported including occupancy, staffing, financial performance,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FM who holds relevant qualifications and has been in the role for 11 months including as a registered nurse (RN). Prior to this she had been in a similar role for Ultimate Care Group at another facility. Responsibilities and accountabilities are defined in a job description and individual employment agreement.  The FM confirmed knowledge of the sector, regulatory and reporting requirements and maintains currency through ongoing professional development.</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Canterbury District Health Board (CDHB) for respite, complex medical conditions, rest home care, hospital level care and palliative care and Ministry of Health (MoH) for younger persons with a disability (YPD).  On the first day of audit 47 residents were receiving services under the contracts, 44 under CDHB (15 rest home and 29 hospital residents) and three (YPD residents) under the MoH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 and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The facility holds monthly meetings with staff and residents where some quality indicators are discussed. However, the scheduled quality improvement meetings have not occurred since January 2019.  Staff reported their involvement in quality and risk management activities through audit activities and attendance at staff meetings. Quality graphs are displayed in the staff room to ensure staff are kept informed of trends. Relevant corrective actions are developed and implemented to address any shortfalls. Resident and family satisfaction surveys are completed annually. The most recent survey showed some issues with food, however since the survey in 2018, a new cook has been employed and feedback has since improved regarding food service. There were many positives in the survey including activities and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(also refer to criterion 1.1.9.1). Adverse event data is collated and entered onto the organisation’s electronic system and a graph developed and returned to the facility for analysis and recommendations to be completed (refer criterion 1.2.3.6).</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They advised there has been one notification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 however annual appraisals have not been undertaken since 2017.  A review of records and staff interviews confirmed that an initial induction and orientation programme is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however planned training has not occurred in 2019.  Care staff have either completed or commenced a New Zealand Qualification Authority education programme to meet the requirements of the provider’s agreement with the DHB. Due to resignations, there is one registered nurse maintaining his annual competency requirements to undertake interRAI assessments (refer criterion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an influx of RN resignations for various reasons, leaving the facility short of the required RN cover when they had an increase of five admissions at about the same time. The CSM resigned her position in March 2019 and opted for an RN role leaving the CSM role vacant. At this time, there was a week when the facility was down in RN hours; however, agency cover has been utilised and the FM has covered some shifts. The FM introduced an extra caregiver shift and another weekend morning shift to provide additional caregiver hours. Agency staff were used and recruitment was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of the 10th June the FM has assumed the dual role of FM and CSM. While the facility is still down in RN cover, they are using agency staff to cover for both RN and caregivers until full recruitment has been completed. One RN is due to commence on the Monday following the audit, with two others waiting final approval. The CSM role is advertised.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staffing numbers meet minimum requirements. Care staff reported there are now adequate staff available to complete the work allocated to them. Residents and two family members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four weeks roster cycle confirmed adequate staff cover has now been provided, with agency staff used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In files reviewed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w:t>
            </w:r>
          </w:p>
          <w:p w:rsidR="00EB7645" w:rsidRPr="00BE00C7" w:rsidP="00BE00C7">
            <w:pPr>
              <w:pStyle w:val="OutcomeDescription"/>
              <w:spacing w:before="120" w:after="120"/>
              <w:rPr>
                <w:rFonts w:cs="Arial"/>
                <w:b w:val="0"/>
                <w:lang w:eastAsia="en-NZ"/>
              </w:rPr>
            </w:pPr>
            <w:r w:rsidRPr="00BE00C7">
              <w:rPr>
                <w:rFonts w:cs="Arial"/>
                <w:b w:val="0"/>
                <w:lang w:eastAsia="en-NZ"/>
              </w:rPr>
              <w:t>A review and report generated for the past month indicates pro re nata (PRN – as required) medications do not always include their effectiveness, and that a reason for medication omissions is not always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Waimakariri District Council.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weights are regularly monitored to ensure they are stable meeting a previously required improvement.</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care requirements. The attention to meeting a diverse range of resident’s individualised needs was evident in all areas of service provision.  The GP interviewed, verified that medical input is sought in a timely manner, that medical orders are followed, and care is of a good standard. Care staff confirmed that care was provided as outlined in the documentation (refer criterion 1.3.3.3).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therapists holding the national Certificate in Diversional Therapy, an assistant and rostered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Examples of short-term care plans being reviewed and progress evaluated as clinically indicated were noted for two issues (refer criterion 1.3.3.3).  When there are ongoing unresolved problems, long term care plans are added to at the time of re-assessment.  Residents and families interviewed provided examples of involvement in evaluation of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20 June 2019)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entered into the organisation’s electronic system, graphs are produced and returned to the facility. However, analysis to identify any trends, possible causative factors and required actions is not occurring (refer criterion 1.2.3.6).  Electronic data is benchmarked externally within the group. Benchmarking has provided assurance that infection rates in the facility are below average for the group.</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Two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4"/>
        <w:gridCol w:w="1280"/>
        <w:gridCol w:w="4730"/>
        <w:gridCol w:w="3948"/>
        <w:gridCol w:w="18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forms are completed at the time of the incident. There is a box to identify if and when the resident’s family member has been informed, however the sample of forms reviewed and interviews confirmed that this is not always completed and family are not always informed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incident form there is a tick box to identify when/if family are informed, however this is often not completed, or the family are not informed until the next day. For example, six incident forms reviewed showed the event happening early evening (between 5pm and 7pm) and 10am Sunday and family were to be notified tomorrow / next working day. Four other forms did not have the applicable box ticked. Two family members interviewed reported that they were not informed until the next day after an event.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are informed of an event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incidents and accidents and other adverse events are reported and documented in the organisation’s electronic system. This excludes infections which have not been included for this year. The system develops a graph of all events and this is provided to the facility for analysis and recommendations to minimise events; however, analysis has not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meetings are held with staff, including kitchen staff, activities staff, registered nurses and household staff and residents to discuss issues specific to each area. Health and safety and restraint minimisation are discussed at these meetings, however other events such as complaints and adverse events are not included. The scheduled quality improvement meetings have not occurred since January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 reporting, complaints and infections are not routinely analysed and evaluated. Monthly quality improvement meetings are not occurring.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analysed and evaluated monthly and recommendations communicated to staff. Scheduled quality improvement meetings are held.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had an influx of RN resignations for various reasons, including the resignation of the clinical services manager (CSM) along with three other RN’s in March 2019. The organisation provided some interim cover and agency staff have also been utilised, but because the service is rural not all RN’s want to travel. This has led to annual appraisals, training requirements and required competencies not being completed. As an RN, the FM has assumed the role of both FM and CSM until a replacement occurs. There are three RN replacements occurring in the next three weeks.</w:t>
            </w:r>
          </w:p>
          <w:p w:rsidR="00EB7645" w:rsidRPr="00BE00C7" w:rsidP="00BE00C7">
            <w:pPr>
              <w:pStyle w:val="OutcomeDescription"/>
              <w:spacing w:before="120" w:after="120"/>
              <w:rPr>
                <w:rFonts w:cs="Arial"/>
                <w:b w:val="0"/>
                <w:lang w:eastAsia="en-NZ"/>
              </w:rPr>
            </w:pPr>
            <w:r w:rsidRPr="00BE00C7">
              <w:rPr>
                <w:rFonts w:cs="Arial"/>
                <w:b w:val="0"/>
                <w:lang w:eastAsia="en-NZ"/>
              </w:rPr>
              <w:t>RN medication competencies have been completed and one RN is syringe driver (SD) competent (training for other RNs is due to occur on Monday 17th June). The SD competent RN is coming in to manage the one resident with a syringe driver in off duty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 appraisals for new employees have been completed, however annual appraisals have not been undertaken since December 2017. </w:t>
            </w:r>
          </w:p>
          <w:p w:rsidR="00EB7645" w:rsidRPr="00BE00C7" w:rsidP="00BE00C7">
            <w:pPr>
              <w:pStyle w:val="OutcomeDescription"/>
              <w:spacing w:before="120" w:after="120"/>
              <w:rPr>
                <w:rFonts w:cs="Arial"/>
                <w:b w:val="0"/>
                <w:lang w:eastAsia="en-NZ"/>
              </w:rPr>
            </w:pPr>
            <w:r w:rsidRPr="00BE00C7">
              <w:rPr>
                <w:rFonts w:cs="Arial"/>
                <w:b w:val="0"/>
                <w:lang w:eastAsia="en-NZ"/>
              </w:rPr>
              <w:t>There is one end of life/palliative care resident with a syringe driver in place, however there is only one SD competent RN who is coming in to manage the resident in off duty time.</w:t>
            </w:r>
          </w:p>
          <w:p w:rsidR="00EB7645" w:rsidRPr="00BE00C7" w:rsidP="00BE00C7">
            <w:pPr>
              <w:pStyle w:val="OutcomeDescription"/>
              <w:spacing w:before="120" w:after="120"/>
              <w:rPr>
                <w:rFonts w:cs="Arial"/>
                <w:b w:val="0"/>
                <w:lang w:eastAsia="en-NZ"/>
              </w:rPr>
            </w:pPr>
            <w:r w:rsidRPr="00BE00C7">
              <w:rPr>
                <w:rFonts w:cs="Arial"/>
                <w:b w:val="0"/>
                <w:lang w:eastAsia="en-NZ"/>
              </w:rPr>
              <w:t>Not all care staff competencies have been completed in the past year (e.g., insulin and manual handling competencies have not been undertaken for those that are due in 2019). The 2019 planned in-service training for staff has not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system to identify, plan and implement ongoing training and education for all staff occurs according to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electronic medication management system is in place and staff were observed to manage medicines safely. Medications were stored securely, and appropriate checks were occurring.</w:t>
            </w:r>
          </w:p>
          <w:p w:rsidR="00EB7645" w:rsidRPr="00BE00C7" w:rsidP="00BE00C7">
            <w:pPr>
              <w:pStyle w:val="OutcomeDescription"/>
              <w:spacing w:before="120" w:after="120"/>
              <w:rPr>
                <w:rFonts w:cs="Arial"/>
                <w:b w:val="0"/>
                <w:lang w:eastAsia="en-NZ"/>
              </w:rPr>
            </w:pPr>
            <w:r w:rsidRPr="00BE00C7">
              <w:rPr>
                <w:rFonts w:cs="Arial"/>
                <w:b w:val="0"/>
                <w:lang w:eastAsia="en-NZ"/>
              </w:rPr>
              <w:t>A review and report generated from the electronic medication management system for the past month showed that at least 10 PRN medications do not have a comment on the effectiveness of the medication and that there are many (over 100) medication omissions without comment as to why this has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overdue GP medication reviews in the sample of 10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medication omissions is not always included or the effectiveness of PRN medications.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Medicines management includes documentation of omissions, effectiveness of PRN medications and ensures three monthly GP reviews are occurring.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reviewed and as reported by the RN, on admission, an initial interRAI assessment occurs and a care plan is developed.</w:t>
            </w:r>
          </w:p>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developed and mostly reflected interRAI assessments. Paper assessment tools are used for interim issues, such as decreased mobility, falls and changes in care, but these are not always added to care plans, or a short-term care plan developed. For example, a resident who fell and has pain has not had interventions for management included in a short-term care plan or added to her long-term care plan. Her mobility and continence changes are also not included in care plan documents. The detail of the change in care and required interventions are documented in progress notes.</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assessments due from January 2019 to May 2019 have not been completed. Interim issues/assessments, such as pain, are not always included in the care plan or reviewed for effectiveness.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interRAI assessments are overdue.</w:t>
            </w:r>
          </w:p>
          <w:p w:rsidR="00EB7645" w:rsidRPr="00BE00C7" w:rsidP="00BE00C7">
            <w:pPr>
              <w:pStyle w:val="OutcomeDescription"/>
              <w:spacing w:before="120" w:after="120"/>
              <w:rPr>
                <w:rFonts w:cs="Arial"/>
                <w:b w:val="0"/>
                <w:lang w:eastAsia="en-NZ"/>
              </w:rPr>
            </w:pPr>
            <w:r w:rsidRPr="00BE00C7">
              <w:rPr>
                <w:rFonts w:cs="Arial"/>
                <w:b w:val="0"/>
                <w:lang w:eastAsia="en-NZ"/>
              </w:rPr>
              <w:t>Review of care and evaluations are occurring but the findings from these are not always documented in care plans or a short-term care plan developed.</w:t>
            </w:r>
          </w:p>
          <w:p w:rsidR="00EB7645" w:rsidRPr="00BE00C7" w:rsidP="00BE00C7">
            <w:pPr>
              <w:pStyle w:val="OutcomeDescription"/>
              <w:spacing w:before="120" w:after="120"/>
              <w:rPr>
                <w:rFonts w:cs="Arial"/>
                <w:b w:val="0"/>
                <w:lang w:eastAsia="en-NZ"/>
              </w:rPr>
            </w:pPr>
            <w:r w:rsidRPr="00BE00C7">
              <w:rPr>
                <w:rFonts w:cs="Arial"/>
                <w:b w:val="0"/>
                <w:lang w:eastAsia="en-NZ"/>
              </w:rPr>
              <w:t>Care plans are not always updated, or short-term care plans developed when issues arise.</w:t>
            </w:r>
          </w:p>
          <w:p w:rsidR="00EB7645" w:rsidRPr="00BE00C7" w:rsidP="00BE00C7">
            <w:pPr>
              <w:pStyle w:val="OutcomeDescription"/>
              <w:spacing w:before="120" w:after="120"/>
              <w:rPr>
                <w:rFonts w:cs="Arial"/>
                <w:b w:val="0"/>
                <w:lang w:eastAsia="en-NZ"/>
              </w:rPr>
            </w:pPr>
            <w:r w:rsidRPr="00BE00C7">
              <w:rPr>
                <w:rFonts w:cs="Arial"/>
                <w:b w:val="0"/>
                <w:lang w:eastAsia="en-NZ"/>
              </w:rPr>
              <w:t>Pain assessments are not routinely completed, and effectiveness of treatment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and care planning interventions are documented and reviewed to reflect the needs of residents within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data is collected on a monthly basis and treatment for infections occurs, however this has not recently (since January 2019) been entered onto the organisations electronic data system so an analysis of infections occurs.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not entered on the electronic system so an analysis of infections can occur (refer criterion 1.2.3.6).</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analysis of data is collated and analysed so the results of surveillance and specific recommendations are implemented to minimise infections.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Karadean</w:t>
    </w:r>
    <w:bookmarkEnd w:id="58"/>
    <w:r>
      <w:rPr>
        <w:rFonts w:cs="Arial"/>
        <w:sz w:val="16"/>
        <w:szCs w:val="20"/>
      </w:rPr>
      <w:tab/>
      <w:t xml:space="preserve">Date of Audit: </w:t>
    </w:r>
    <w:bookmarkStart w:id="59" w:name="AuditStartDate1"/>
    <w:r>
      <w:rPr>
        <w:rFonts w:cs="Arial"/>
        <w:sz w:val="16"/>
        <w:szCs w:val="20"/>
      </w:rPr>
      <w:t>11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