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Henrikwest Management Limited - Craigweil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Henrikwest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Craigweil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June 2019</w:t>
      </w:r>
      <w:bookmarkEnd w:id="7"/>
      <w:r w:rsidRPr="009418D4">
        <w:rPr>
          <w:rFonts w:cs="Arial"/>
        </w:rPr>
        <w:tab/>
        <w:t xml:space="preserve">End date: </w:t>
      </w:r>
      <w:bookmarkStart w:id="8" w:name="AuditEndDate"/>
      <w:r w:rsidR="00A4268A">
        <w:rPr>
          <w:rFonts w:cs="Arial"/>
        </w:rPr>
        <w:t>6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Craigweil House provides rest home, hospital and geriatric level care as well as dementia (memory loss) care for up to 68 residents. The service is operated by Henrikwest Management Limited and managed by a facility manager and a clinical manager. Residents and family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Waitemata district health board. The audit process included review of policies and procedures, review of residents’ and staff records, observations and interviews with residents, family, management and staff. The general practitioner was not available on the day of the audit.</w:t>
      </w:r>
    </w:p>
    <w:p w:rsidRPr="00A4268A">
      <w:pPr>
        <w:spacing w:before="240" w:line="276" w:lineRule="auto"/>
        <w:rPr>
          <w:rFonts w:eastAsia="Calibri"/>
        </w:rPr>
      </w:pPr>
      <w:r w:rsidRPr="00A4268A">
        <w:rPr>
          <w:rFonts w:eastAsia="Calibri"/>
        </w:rPr>
        <w:t>The audit has resulted in no areas identified for improvement. The one area for improvement related to restraint from the previous audit has been closed out.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a family member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Annual goals are set and reviewed regularly.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  Staffing levels and skill mixed meet the changing needs of residents. </w:t>
      </w:r>
    </w:p>
    <w:p w:rsidRPr="00A4268A">
      <w:pPr>
        <w:spacing w:before="240" w:line="276" w:lineRule="auto"/>
        <w:rPr>
          <w:rFonts w:eastAsia="Calibri"/>
        </w:rPr>
      </w:pPr>
      <w:r w:rsidRPr="00A4268A">
        <w:rPr>
          <w:rFonts w:eastAsia="Calibri"/>
        </w:rPr>
        <w:t xml:space="preserv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assess residents on admission. Initial care plans guide service delivery during the first three weeks after admission.</w:t>
      </w:r>
    </w:p>
    <w:p w:rsidRPr="00A4268A" w:rsidP="00621629">
      <w:pPr>
        <w:spacing w:before="240" w:line="276" w:lineRule="auto"/>
        <w:rPr>
          <w:rFonts w:eastAsia="Calibri"/>
        </w:rPr>
      </w:pPr>
      <w:r w:rsidRPr="00A4268A">
        <w:rPr>
          <w:rFonts w:eastAsia="Calibri"/>
        </w:rPr>
        <w:t>The interRAI assessment process is used to identify residents’ needs and these are completed within the required timeframes.</w:t>
      </w:r>
    </w:p>
    <w:p w:rsidRPr="00A4268A" w:rsidP="00621629">
      <w:pPr>
        <w:spacing w:before="240" w:line="276" w:lineRule="auto"/>
        <w:rPr>
          <w:rFonts w:eastAsia="Calibri"/>
        </w:rPr>
      </w:pPr>
      <w:r w:rsidRPr="00A4268A">
        <w:rPr>
          <w:rFonts w:eastAsia="Calibri"/>
        </w:rPr>
        <w:t>Care plans are individualised and based on an integrated range of clinical information. Short-term care plans are in place to manage short-term problems. Residents’ records reviewed demonstrate their needs, goals and outcomes are identified and reviewed at regular intervals. Interviews confirmed residents and families are informed and involved in care planning and evaluation of care. Handovers between shifts guide continuity of care.</w:t>
      </w:r>
    </w:p>
    <w:p w:rsidRPr="00A4268A" w:rsidP="00621629">
      <w:pPr>
        <w:spacing w:before="240" w:line="276" w:lineRule="auto"/>
        <w:rPr>
          <w:rFonts w:eastAsia="Calibri"/>
        </w:rPr>
      </w:pPr>
      <w:r w:rsidRPr="00A4268A">
        <w:rPr>
          <w:rFonts w:eastAsia="Calibri"/>
        </w:rPr>
        <w:t>The activity programme is managed effectively by two diversional therapists and one activities coordinator. The individual activities plans are reviewed six monthly by the diversional therapists. The programme provides residents with a variety of individual and group activities. The service uses its facility van for outings in the community.</w:t>
      </w:r>
    </w:p>
    <w:p w:rsidRPr="00A4268A" w:rsidP="00621629">
      <w:pPr>
        <w:spacing w:before="240" w:line="276" w:lineRule="auto"/>
        <w:rPr>
          <w:rFonts w:eastAsia="Calibri"/>
        </w:rPr>
      </w:pPr>
      <w:r w:rsidRPr="00A4268A">
        <w:rPr>
          <w:rFonts w:eastAsia="Calibri"/>
        </w:rPr>
        <w:t>Medicine management occurs according to policies and procedures in alignment with legislative requirements and is consistently implemented using an electronic system. Medications are administered by registered nurses and senior healthcare assistants. Medicines management competencies for staff who administer medicines are current.</w:t>
      </w:r>
    </w:p>
    <w:p w:rsidRPr="00A4268A" w:rsidP="00621629">
      <w:pPr>
        <w:spacing w:before="240" w:line="276" w:lineRule="auto"/>
        <w:rPr>
          <w:rFonts w:eastAsia="Calibri"/>
        </w:rPr>
      </w:pPr>
      <w:r w:rsidRPr="00A4268A">
        <w:rPr>
          <w:rFonts w:eastAsia="Calibri"/>
        </w:rPr>
        <w:t xml:space="preserve">The food service meets the nutritional and other specific needs of the residents. Kitchen staff have completed a food safety course. The kitchen is clean, meets food safety standards, is registered and has an ‘A’ grade food control plan displayed. Residents confirmed satisfaction with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Three enablers and two restraints were in use at the time of audit.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r w:rsidRPr="00A4268A">
        <w:rPr>
          <w:rFonts w:eastAsia="Calibri"/>
        </w:rPr>
        <w:t>Staff education including the completion of a questionnaire is up to date. No residents’ doors were locked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surveillance is undertaken, analysed and trended. Surveillance records showed evidence of follow-up of infection when required.</w:t>
      </w:r>
    </w:p>
    <w:p w:rsidRPr="00A4268A">
      <w:pPr>
        <w:spacing w:before="240" w:line="276" w:lineRule="auto"/>
        <w:rPr>
          <w:rFonts w:eastAsia="Calibri"/>
        </w:rPr>
      </w:pPr>
      <w:r w:rsidRPr="00A4268A">
        <w:rPr>
          <w:rFonts w:eastAsia="Calibri"/>
        </w:rPr>
        <w:t>The infection surveillance programme is reviewed annually. Staff interviewed demonstrated current knowledge and practice in relation to the implementation of infection prevention and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have been received since the previous audit. The minor concerns diary showed that five issues raised have had actions taken, through to an agreed resolution, are documented and completed within the timeframes.  For example, a resident’s photograph frame was damaged. The service spoke to family, repaired the damage and a positive outcome was achieved. The facility manager ensures that if any follow up is required then this is clearly documented on an action plan and the actions taken are reviewed to ensure improvements are made where possible. In relation to two complaints which went off site that were received and closed off in the previous audit, the standards were reviewed and are being implemented by the service. For example, family are invited to be involved in resident care planning as appropriate, and care planning is up to date. The facility manager is responsible for complaints management and follow up. Complaints are reported to the general manager as they arise. All staff interviewed confirmed a sound understanding of the complaint process and what actions are required. There have been no complaints received from external sources since the previous audit. Two monthly resident meeting minutes identify that residents are asked if they have any concerns. If any arise they are addressed using the corrective action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and were advised in a timely manner about any incidents or accidents and outcomes of regular or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as staff and family are available to translate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quality and business plans, which are reviewed annually, outline the purpose, values, scope, direction and goals of the organisation. The documents describe annual and longer term objectives and goals. A sample of monthly reports to the board of directors/owners showed adequate information to monitor performance is reported including financial performance, quality data, emerging risks and issues. The service also uses ‘Viber’ between the management group, sister facilities and the director/owners to exchange information on a real-time basis. A full weekly, monthly and quarterly report is also sent via Viber and via the internet.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service is managed by a facility manager who is assisted by a clinical manager.  Both hold up to date annual nursing registrations and are qualified for their roles.  The facility manager has been in the role for seven months and has over 10 years of experience at this senior management level in aged care. The clinical manager has held the role for 15 months with previous aged care experience. Two other members of the management team are the office manager and the facility coordinator. Responsibilities and accountabilities are defined in a job description and individual employment agreement.  The facility manager (FM) reports to the general manager daily. The FM confirms knowledge of the sector, regulatory and reporting requirements and maintains currency through attendance at aged care education days covering both clinical and management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Waitemata District Health Board (WDHB) and the Ministry of Health (MoH) for under 65 year olds, respite, hospital and rest home level care including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all 50 residents were receiving services under the WDHB Age Related Residential Care contract being nine dementia care, 23 hospital level care, 18 rest home level care, which included one respite care. </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receiving care under the WDHB Long Term Support-Chronic Health Condition contract or the MoH Non-Aged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 care, bruising, falls, skin tears, medication errors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meetings, daily reporting to the general manager and staff meetings. A quality monthly analysis report is shared across all levels of the service along with a three monthly analysis of data to show trending. Quality data is shared with residents and families as appropriate including trended results. This was an outstanding corrective action for the WDHB and is now fully attained.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and implementation of correct actions. Relevant corrective actions are developed and implemented to address any shortfalls. Resident and family satisfaction surveys are completed annually. The most recent survey (June 2018) showed that all required actions have been followed up. One example related to the food being cold when served in the memory (dementia) unit. Follow up included documented discussions with the staff in the memory unit and the kitchen staff, and regular food temperature monitoring being undertaken. No further complaints have been received related to this. Family interviewed on the day of audit had no negative comments. The 2019 resident and family survey was sent out the week prior to audit and results will be trended against the 2018 audit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facility manager and clinical manager described the processes for the identification, monitoring, review and reporting of risks and development of mitigation strategies. Health and safety issues, including newly identified hazards, are documented and reviewed at the health and safety meetings and discussed at staff meetings. This was confirmed in meeting minutes sighted. A full review of all hazards occurred in November 2018 by members of the senior management group, which includes the general manager. The facility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members of the senior management group. Neurological observations are undertaken for unwitnessed falls and short term care plans are commenced for wound care, as confirmed in resident files sighted. Incidents and accidents are evaluated monthly and comparative data is trended. Should an upward trend be identified corrective action planning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They advised there have been 12 section 31 notifications of significant events made to the Ministry of Health in January 2019. Two related to GP coverage not being available, nine related to registered nurse coverage not being available and one stage three pressure injury, not facility acquired, was notified. No other notifications have been made to any other regulatory body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Those interviewed reported that the orientation process prepared them well for their role.  Staff records reviewed show documentation of completed orientation, a performance review occurs after a three-month period and annual performance appraisals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The facility manager is the internal assessor for the programme.  Staff working in the memory unit have completed the required education. There are sufficient trained and competent registered nurses who are maintaining their annual competency requirements to undertake interRAI assessments. Records reviewed demonstrated completion of the required training. The service has two recently employed registered nurses undertaking interRAI training as part of the services succession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are adequate staff available to complete the work allocated to them.  Residents and family interviewed supported this. Staffing levels meet the interRAI acuity level report findings. In January 2019 the service was unable to cover some shifts with registered nurses. (Refer comment in standard 1.2.4). This has been resolved with the recruitment of two additional full time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At least one staff member on duty has a current first aid certificate and there is 24 hour/seven days a week (24//7) RN coverage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Dedicated cleaning staff work 91 hours per week and cover seven days a week. There are dedicated laundry staff who work a total of 49 hours per week covering seven days per week. Two cooks and kitchen staff cover all meal services seven days a week. Maintenance is undertaken two days a week or as required. The facility manager, clinical manager and facility coordinator work Monday to Friday with the facility manager and clinical manager sharing the on-call for after hours. The office manager works across two sites and is at Craigweil house 24 hours a week. At the time of audit, the clinical manager was working across two sites being based at Craigweil. This is a temporary arrangement until a new clinical manager can be found for the sister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activities staff who cover Monday to Friday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available 24 hours a day if required and visits the facility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documented, implemented accordingly and complies with legislation, protocols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pharmacy pre-packaged medicine that is checked by the RN on delivery. An electronic medication system is used. Weekly checks and six monthly stocktakes are conducted and confirmed that stock levels are correct.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temperatures are monitored. A system is in place for returning expired or unwanted medications to the contracted pharmacy. All medications are stored appropriately. Review of the medication fridge confirmed that the service does not store or hold vaccines and interviews with the clinical manager and a registered nurse confirmed they do no hold any vaccines on the premises.</w:t>
            </w:r>
          </w:p>
          <w:p w:rsidR="00EB7645" w:rsidRPr="00BE00C7" w:rsidP="00BE00C7">
            <w:pPr>
              <w:pStyle w:val="OutcomeDescription"/>
              <w:spacing w:before="120" w:after="120"/>
              <w:rPr>
                <w:rFonts w:cs="Arial"/>
                <w:b w:val="0"/>
                <w:lang w:eastAsia="en-NZ"/>
              </w:rPr>
            </w:pPr>
            <w:r w:rsidRPr="00BE00C7">
              <w:rPr>
                <w:rFonts w:cs="Arial"/>
                <w:b w:val="0"/>
                <w:lang w:eastAsia="en-NZ"/>
              </w:rPr>
              <w:t>The staff administering medication complied with the medicine administration policies and procedures. A safe process was observed. Current medication competencies were evident in staff records sampled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 during the onsite audit days. A process is in place to ensure ongoing competency of the resident and this is authorised by the GP.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two different dining rooms. The seasonal menu has been reviewed by a dietitian on the16th of December 2017. The food control plan’s expiry date for implementation is 09 January 2020. Kitchen staff have current food management certificates.</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profiles are developed on admission as part of the admission process by the RN. Any identified dietary requirements and preferences are recorded. The dietary profiles are communicated to kitchen staff. Kitchen staff are updated if a resident’s dietary needs change and when dietary profiles are reviewed six monthly. Diets are modified as required and the kitchen staff confirmed awareness of the dietary needs of residents. These are also clearly documented on the whiteboard in the kitchen for quick reference as needed. Supplements are provided to residents with identified weight loss problems.</w:t>
            </w:r>
          </w:p>
          <w:p w:rsidR="00EB7645" w:rsidRPr="00BE00C7" w:rsidP="00BE00C7">
            <w:pPr>
              <w:pStyle w:val="OutcomeDescription"/>
              <w:spacing w:before="120" w:after="120"/>
              <w:rPr>
                <w:rFonts w:cs="Arial"/>
                <w:b w:val="0"/>
                <w:lang w:eastAsia="en-NZ"/>
              </w:rPr>
            </w:pPr>
            <w:r w:rsidRPr="00BE00C7">
              <w:rPr>
                <w:rFonts w:cs="Arial"/>
                <w:b w:val="0"/>
                <w:lang w:eastAsia="en-NZ"/>
              </w:rPr>
              <w:t>All food procurement, production, preparation, storage, delivery and disposal sighted at the time of the audit meet the requirements of the standard. The operations manager for three sites is responsible for purchasing the food to meet requirements of the menu plans. Food is stored appropriately in fridges and freezers, which are daily monitored, and dry food supplies are stored in the pantry.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are completed by the RN and based on assessed needs, desired outcomes and goals of the residents. Care planning includes specific interventions for both long-term and acute problems and are consistently recorded to meet the goals set.</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were current. Interviews with residents and family confirmed that care and treatment meets residents’ needs. Staff interviews confirmed they are familiar with the needs of the residents. Family communication is recorded in the progress records (use of a stamp) observed in the residents’ records sighted. The nursing progress notes and observation records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developed and implemented by two diversional therapists (DTs) and one activities coordinator. One of the two DTs comes from another rest home owned by the same company on day a week to assist with the programme implementation. The activities staff cover and provide activities for the residents Monday to Friday. Care staff provide planned activities in the weekend. The activities programme is reviewed monthly and displayed in all service areas and in the main office. A plan for each individual service was sighted. The diversional therapists plan a range of activities, which incorporate education, leisure, cultural and community events for the residents to participate in if they choose to do so.</w:t>
            </w:r>
          </w:p>
          <w:p w:rsidR="00EB7645" w:rsidRPr="00BE00C7" w:rsidP="00BE00C7">
            <w:pPr>
              <w:pStyle w:val="OutcomeDescription"/>
              <w:spacing w:before="120" w:after="120"/>
              <w:rPr>
                <w:rFonts w:cs="Arial"/>
                <w:b w:val="0"/>
                <w:lang w:eastAsia="en-NZ"/>
              </w:rPr>
            </w:pPr>
            <w:r w:rsidRPr="00BE00C7">
              <w:rPr>
                <w:rFonts w:cs="Arial"/>
                <w:b w:val="0"/>
                <w:lang w:eastAsia="en-NZ"/>
              </w:rPr>
              <w:t>Residents’ activities assessments are completed within the three weeks of their admission to the facility. Information on each resident’s interests is gathered during an interview with the resident and their family. The diversional therapists develop an activities plan for each individual resident.</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plans are reviewed six monthly at the same time the care plans are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the activities staff are part of the interRAI evaluation process and MDT meetings. The residents and family reported satisfaction with the activities provided. Over the course of the audit residents were observed engaging in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and the short-term care plans are evaluated in a timely manner. The evaluations include the degree of achievement towards meeting desired goals and outcomes. Residents’ responses to their treatment are documented. Changes in the interventions are initiated when the desired goals/outcomes are not achieved.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or issues when needed. These record goals and the required interventions for the identified short-term problems. The short-term care plans reviewed were signed, dated and closed out when the short-term problem had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08 February 2020) is publicly displayed. There have been no changes to the service footprint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site specific and reviewed annually, with the last review being 22 November 2018. The surveillance policy identifies the requirements around the surveillance of infections. The infections are maintained and collated monthly by an RN infection control coordinator (ICC) and the FM who is a registered nurse. A monthly infections analysis documentation reviewed compared the incidence of infections to the previous month, the reason for the increase or decrease and the action advised.  Any recommendations if any are documented and discussed at the monthly meetings. The overall outcome feedback is provided at the staff meetings. In addition a graph and report summary of micro-organisms monthly is provided and reported at the health and safety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evidenced that those residents diagnosed with an infection had short-term care plans in place. The ICC reports to the GP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 staff verified they are made aware of any infections through feedback from the RNs, meeting minutes, verbal handovers, short-term care plans and progress notes. This was confirmed during attendance at the handover and review of the residents’ records. The FM confirmed there had been no outbreaks of infection at the facility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restraints (bedside rails) and three residents were using enablers (bedside loops), which were the least restrictive option and used voluntarily at their request. A similar process is followed for the use of enablers as is used for restraints. All documentation sighted, including monitoring was complete.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facility manager described how alternatives to restraints are discussed with staff and family members such as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areas identified for improvement in the previous audit are met. Staff have received training in the organisation’s policy and procedures on restraint minimisation and in related topics, such as positively supporting people with challenging behaviours. This occurs as part of staff orientation and ongoing. Restraint education was last presented in May 2019. Staff spoken to understood that the use of restraint is to be minimised and how to maintain safety when in use. This is supported by the January 2019 internal audit result which gained a 100%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in the memory unit have locks on them but no resident rooms were locked on the day of audit and staff confirmed that the doors are never locked. The keys have been removed and the master is held by management. This was confirmed during family and resident interviews and by the facility manager.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Henrikwest Management Limited - Craigweil House</w:t>
    </w:r>
    <w:bookmarkEnd w:id="58"/>
    <w:r>
      <w:rPr>
        <w:rFonts w:cs="Arial"/>
        <w:sz w:val="16"/>
        <w:szCs w:val="20"/>
      </w:rPr>
      <w:tab/>
      <w:t xml:space="preserve">Date of Audit: </w:t>
    </w:r>
    <w:bookmarkStart w:id="59" w:name="AuditStartDate1"/>
    <w:r>
      <w:rPr>
        <w:rFonts w:cs="Arial"/>
        <w:sz w:val="16"/>
        <w:szCs w:val="20"/>
      </w:rPr>
      <w:t>6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