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Metlifecare Limited - Metlifecare Somervale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Metlifecare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Metlifecare Somervale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30 April 2019</w:t>
      </w:r>
      <w:bookmarkEnd w:id="7"/>
      <w:r w:rsidRPr="009418D4">
        <w:rPr>
          <w:rFonts w:cs="Arial"/>
        </w:rPr>
        <w:tab/>
        <w:t xml:space="preserve">End date: </w:t>
      </w:r>
      <w:bookmarkStart w:id="8" w:name="AuditEndDate"/>
      <w:r w:rsidR="00A4268A">
        <w:rPr>
          <w:rFonts w:cs="Arial"/>
        </w:rPr>
        <w:t>1 May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The service would like to add medical (non-acute) to their services offered.</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66</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Metlifecare Somervale provides rest home and hospital level care for up to 69 residents. The service is operated by Metlifecare Limited and managed by a nurse manager who reports to the village manager. The nurse manager is supported by two senior registered nurses and a team of 13 other registered nurses. Residents and families spoke positively about the care provided.</w:t>
      </w:r>
    </w:p>
    <w:p w:rsidRPr="00A4268A">
      <w:pPr>
        <w:spacing w:before="240" w:line="276" w:lineRule="auto"/>
        <w:rPr>
          <w:rFonts w:eastAsia="Calibri"/>
        </w:rPr>
      </w:pPr>
      <w:r w:rsidRPr="00A4268A">
        <w:rPr>
          <w:rFonts w:eastAsia="Calibri"/>
        </w:rPr>
        <w:t>The service would like to have medical (non-acute) services added to the service they are certified to provide and this was reviewed as part of this certification audit. All requirements were met for medical (non-acute) services to be added to Metlifecare Somervale services offered.</w:t>
      </w:r>
    </w:p>
    <w:p w:rsidRPr="00A4268A">
      <w:pPr>
        <w:spacing w:before="240" w:line="276" w:lineRule="auto"/>
        <w:rPr>
          <w:rFonts w:eastAsia="Calibri"/>
        </w:rPr>
      </w:pPr>
      <w:r w:rsidRPr="00A4268A">
        <w:rPr>
          <w:rFonts w:eastAsia="Calibri"/>
        </w:rPr>
        <w:t xml:space="preserve">This certification audit was conducted against the Health and Disability Services Standards and the service’s contract with the district health board. The audit process included review of policies and procedures, review of residents’ and staff files, observations and interviews with residents, family members, management, staff, a contracted physiotherapist and a general practitioner.  </w:t>
      </w:r>
    </w:p>
    <w:p w:rsidRPr="00A4268A">
      <w:pPr>
        <w:spacing w:before="240" w:line="276" w:lineRule="auto"/>
        <w:rPr>
          <w:rFonts w:eastAsia="Calibri"/>
        </w:rPr>
      </w:pPr>
      <w:r w:rsidRPr="00A4268A">
        <w:rPr>
          <w:rFonts w:eastAsia="Calibri"/>
        </w:rPr>
        <w:t xml:space="preserve">This audit has resulted in a continuous improvement rating related to the extended benchmarking of all quality data. No areas requiring improvement were identified.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Residents and their families are provided with information about the Health and Disability Commissioner’s Code of Health and Disability Services Consumers’ Rights (the Code) and these are respected.  Services are provided that support personal privacy, independence, individuality and dignity. Staff interact with residents in a respectful manner. </w:t>
      </w:r>
    </w:p>
    <w:p w:rsidRPr="00A4268A">
      <w:pPr>
        <w:spacing w:before="240" w:line="276" w:lineRule="auto"/>
        <w:rPr>
          <w:rFonts w:eastAsia="Calibri"/>
        </w:rPr>
      </w:pPr>
      <w:r w:rsidRPr="00A4268A">
        <w:rPr>
          <w:rFonts w:eastAsia="Calibri"/>
        </w:rPr>
        <w:t>Open communication between staff, residents and families is promoted, and confirmed to be effective. There is access to interpreting services if required.   Staff provide residents and families with the information they need to make informed choices and give consent.</w:t>
      </w:r>
    </w:p>
    <w:p w:rsidRPr="00A4268A">
      <w:pPr>
        <w:spacing w:before="240" w:line="276" w:lineRule="auto"/>
        <w:rPr>
          <w:rFonts w:eastAsia="Calibri"/>
        </w:rPr>
      </w:pPr>
      <w:r w:rsidRPr="00A4268A">
        <w:rPr>
          <w:rFonts w:eastAsia="Calibri"/>
        </w:rPr>
        <w:t xml:space="preserve">Residents who identify as Māori have their needs met in a manner that respects their cultural values and beliefs.  There is no evidence of abuse, neglect or discrimination. </w:t>
      </w:r>
    </w:p>
    <w:p w:rsidRPr="00A4268A">
      <w:pPr>
        <w:spacing w:before="240" w:line="276" w:lineRule="auto"/>
        <w:rPr>
          <w:rFonts w:eastAsia="Calibri"/>
        </w:rPr>
      </w:pPr>
      <w:r w:rsidRPr="00A4268A">
        <w:rPr>
          <w:rFonts w:eastAsia="Calibri"/>
        </w:rPr>
        <w:t>The service has linkages with a range of specialist health care providers to support best practice and meet resident’s needs.</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Business and quality and risk management plans include the scope, direction, goals, values and mission statement of the organisation.  Monitoring of the services provided to the governing body is regular and effective. An experienced and suitably qualified person manages the facility.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Benchmarking is undertaken against other Metlifecare facilities, other New Zealand providers with like services and a contracted company undertakes infection control benchmarking. Staff are involved in quality and risk activities and feedback is sought from residents and families. Adverse events are documented with corrective actions implemented. Actual and potential risks, including health and safety risks, are identified and mitigated.  Policies and procedures support service delivery and were current and reviewed regularly at organisational level.  </w:t>
      </w:r>
    </w:p>
    <w:p w:rsidRPr="00A4268A">
      <w:pPr>
        <w:spacing w:before="240" w:line="276" w:lineRule="auto"/>
        <w:rPr>
          <w:rFonts w:eastAsia="Calibri"/>
        </w:rPr>
      </w:pPr>
      <w:r w:rsidRPr="00A4268A">
        <w:rPr>
          <w:rFonts w:eastAsia="Calibri"/>
        </w:rPr>
        <w:t xml:space="preserve">The appointment, orientation and management of staff is based on current good practice. A systematic approach to identify and deliver ongoing training supports safe service delivery and includes regular individual performance review.  Staffing levels and skill mix meet the changing needs of residents. </w:t>
      </w:r>
    </w:p>
    <w:p w:rsidRPr="00A4268A">
      <w:pPr>
        <w:spacing w:before="240" w:line="276" w:lineRule="auto"/>
        <w:rPr>
          <w:rFonts w:eastAsia="Calibri"/>
        </w:rPr>
      </w:pPr>
      <w:r w:rsidRPr="00A4268A">
        <w:rPr>
          <w:rFonts w:eastAsia="Calibri"/>
        </w:rPr>
        <w:t xml:space="preserve">Residents’ information is accurately recorded, securely stored and not accessible to unauthorised people.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Access to the facility is appropriate and efficiently managed with relevant information provided to the potential resident/family. </w:t>
      </w:r>
    </w:p>
    <w:p w:rsidRPr="00A4268A" w:rsidP="00621629">
      <w:pPr>
        <w:spacing w:before="240" w:line="276" w:lineRule="auto"/>
        <w:rPr>
          <w:rFonts w:eastAsia="Calibri"/>
        </w:rPr>
      </w:pPr>
      <w:r w:rsidRPr="00A4268A">
        <w:rPr>
          <w:rFonts w:eastAsia="Calibri"/>
        </w:rPr>
        <w:t xml:space="preserve">The multidisciplinary team, including a registered nurse and general practitioner, assess residents’ needs on admission.  Care plans are individualised, based on a comprehensive range of information and accommodate any new problems that might arise.  Files reviewed demonstrated that the care provided and needs of residents are reviewed and evaluated on a regular and timely basis. Residents are referred or transferred to other health services as required. </w:t>
      </w:r>
    </w:p>
    <w:p w:rsidRPr="00A4268A" w:rsidP="00621629">
      <w:pPr>
        <w:spacing w:before="240" w:line="276" w:lineRule="auto"/>
        <w:rPr>
          <w:rFonts w:eastAsia="Calibri"/>
        </w:rPr>
      </w:pPr>
      <w:r w:rsidRPr="00A4268A">
        <w:rPr>
          <w:rFonts w:eastAsia="Calibri"/>
        </w:rPr>
        <w:t>The planned activity programme provides residents with a variety of individual and group activities and maintains their links with the community.</w:t>
      </w:r>
    </w:p>
    <w:p w:rsidRPr="00A4268A" w:rsidP="00621629">
      <w:pPr>
        <w:spacing w:before="240" w:line="276" w:lineRule="auto"/>
        <w:rPr>
          <w:rFonts w:eastAsia="Calibri"/>
        </w:rPr>
      </w:pPr>
      <w:r w:rsidRPr="00A4268A">
        <w:rPr>
          <w:rFonts w:eastAsia="Calibri"/>
        </w:rPr>
        <w:t>Medicines are safely managed and administered by staff who are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Food is safely managed.  Residents verified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facility meets the needs of residents and was clean and well maintained. There is a current building warrant of fitness.  Electrical equipment is tested as required. Communal and individual spaces are maintained at a comfortable temperature. External areas are accessible, safe and provide shade and seating.  </w:t>
      </w:r>
    </w:p>
    <w:p w:rsidRPr="00A4268A">
      <w:pPr>
        <w:spacing w:before="240" w:line="276" w:lineRule="auto"/>
        <w:rPr>
          <w:rFonts w:eastAsia="Calibri"/>
        </w:rPr>
      </w:pPr>
      <w:r w:rsidRPr="00A4268A">
        <w:rPr>
          <w:rFonts w:eastAsia="Calibri"/>
        </w:rPr>
        <w:t>Waste and hazardous substances are well managed. Staff use protective equipment and clothing. Chemicals, soiled linen and equipment are safely stored. Laundry is undertaken onsite and evaluated for effectiveness.</w:t>
      </w:r>
    </w:p>
    <w:p w:rsidRPr="00A4268A">
      <w:pPr>
        <w:spacing w:before="240" w:line="276" w:lineRule="auto"/>
        <w:rPr>
          <w:rFonts w:eastAsia="Calibri"/>
        </w:rPr>
      </w:pPr>
      <w:r w:rsidRPr="00A4268A">
        <w:rPr>
          <w:rFonts w:eastAsia="Calibri"/>
        </w:rPr>
        <w:t>Staff are trained in emergency procedures, use of emergency equipment and supplies and attend regular fire drills.  Fire evacuation procedures are regularly practised.  Residents reported a timely staff response to call bells.  Security is maintained.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policies and procedures that support the minimisation of restraint.  At the time of audit, the facility is restraint and enabler free. There is a comprehensive assessment, approval and monitoring process identified in policy should restraint be required. Policy states that the use of enablers is voluntary for the safety of residents in response to individual requests. Staff demonstrated a sound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an experienced and trained infection control coordinator, aims to prevent and manage infections. The programme is reviewed annually. Specialist infection prevention and control advice is accessed when needed.</w:t>
      </w:r>
    </w:p>
    <w:p w:rsidRPr="00A4268A">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Pr="00A4268A">
      <w:pPr>
        <w:spacing w:before="240" w:line="276" w:lineRule="auto"/>
        <w:rPr>
          <w:rFonts w:eastAsia="Calibri"/>
        </w:rPr>
      </w:pPr>
      <w:r w:rsidRPr="00A4268A">
        <w:rPr>
          <w:rFonts w:eastAsia="Calibri"/>
        </w:rPr>
        <w:t>Aged care specific infection surveillance is undertaken,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92</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664"/>
        <w:gridCol w:w="1280"/>
        <w:gridCol w:w="899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has developed policies, procedures and processes to meet its obligations in relation to the Code of Health and Disability Services Consumers’ Rights (the Code).  Staff interviewed understood the requirements of the Code and were observed demonstrating respectful communication, encouraging independence, providing options, and maintaining dignity and privacy.  Training on the Code is included as part of the orientation process for all staff employed and in ongoing training, as was verified in training records.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Nursing and care staff interviewed understood the principles and practice of informed consent. Informed consent policies provide relevant guidance to staff.  Clinical files reviewed showed that informed consent has been gained appropriately using the organisation’s standard consent form. Advance care planning, establishing and documenting enduring power of attorney requirements and processes for residents unable to consent is defined and documented, as relevant, in the resident’s record.  Staff were observed to gain consent for day to day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the admission process, residents are given a copy of the Code, which also includes information on the Advocacy Service. Posters and brochures related to the Advocacy Service were also displayed and available in the facility. Family members and residents spoken with were aware of the Advocacy Service, how to access this and their right to have support persons.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assisted to maximise their potential for self-help and to maintain links with their family and the community by attending a variety of organised activities and entertainment provided by individuals and groups in the community.</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unrestricted visiting hours and encourages visits from residents’ family and friends. Family members interviewed stated they felt welcome when they visited and comfortable in their dealings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and associated forms meet the requirements of Right 10 of the Code.  Information on the complaint process is provided to residents and families on admission and those interviewed knew how to do so. Feedback forms used for making complaints or identifying concerns are located throughout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showed that four in-house complaints have been received over the past year and that actions taken, through to an agreed resolution, are documented and completed within the timeframes.  Action plans show any required follow up and improvements have been made where possible.  The nurse manager is responsible for complaints management and follow up and all complaints are registered electronically and discussed at the quality and risk senior forums. All staff interviewed confirmed a sound understanding of the complaints process and what actions are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complaint that was received by the organisation on 21 September 2017, had all required actions taken and it was thought to be resolved was sent to the Health and Disability Commission on the 7 February 2019. All responses required by the commission have been sent back within the required timeframe. The service is waiting to hear back from the commission. This complaint has been notified to the senior clinical management group and to the board.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reported being made aware of the Code and the Nationwide Health and Disability Advocacy Service (Advocacy Service) as part of the information provided in the welcome pack, admission agreement and discussions with staff. The Code is displayed throughout the facility.  Information on advocacy services, how to make a complaint and feedback forms are found at reception and in each pod (dining room/lounge).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confirmed that they receive services in a manner that has regard for their dignity, privacy, sexuality, spirituality and choices.  </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to maintain privacy throughout the audit.  All residents have a private room.  Residents’ bedroom doors have welcome/privacy signs to support privacy for residents when staff are supporting residents with their needs and/or the resident is requesting privacy.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maintain their independence by choosing to attend community activities and participating in clubs of their choosing.  Care plans included documentation related to the resident’s abilities, and strategies to maximise independence.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reviewed confirmed that each resident’s individual cultural, religious and social needs, values and beliefs had been identified, documented and incorporated into their care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understood the service’s policy on abuse and neglect, including what to do should there be any signs. Education on abuse and neglect was confirmed to occur during orientation and annually.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support residents in the service who identify as Māori to integrate their cultural values and beliefs.  The principles of the Treaty of Waitangi are incorporated into day to day practice, as is the importance of whānau.  The senior registered nurse interviewed reported that there are two residents who affiliate with their Maori culture. There are no barriers in supporting residents who are admitted to the facility who identify as Māori.  There is a specific current Māori health plan and all values and beliefs are acknowledged with the support of the Te Whare Tapa Wha model and evidenced and integrated into long-term care plans.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iwi referral form is completed, and residents are supported with input from cultural advisers within the local community as required.  Guidance on tikanga best practice is available and is supported by staff who identify as Māori in the facility.  A Maori cultural adviser has been appointed at the facility and is available to support residents and their whanau as needed and also provide training for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whanau group which consists of staff, residents and family members gather on a regular basis to sing and preform cultural dance.   Whanau and residents interviewed reported that all staff acknowledge and respect their individual cultural needs.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verified that they were consulted on their individual culture, values and beliefs and that staff respected these. Resident’s personal preferences, required interventions and special needs were included in care plans reviewed.  Interviews with residents confirmed that individual needs are being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stated that residents were free from any type of discrimination, harassment or exploitation and felt safe. The induction process for staff includes education related to professional boundaries, expected behaviours and the Code of Conduct.  All registered nurses have records of completion of the required training on professional boundaries.   Staff are guided by policies and procedures and demonstrated a clear understanding of the process they would follow, should they suspect any form of exploitation.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and promotes good practice through evidence-based policies, input from external specialist services and allied health professionals, for example, hospice/palliative care team, speech language therapist, wound care specialist, psychogeriatrician and mental health services for older persons, and education of staff. The general practitioner (GP) confirmed the service sought prompt and appropriate medical intervention when required and were responsive to medical requests. </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they receive management support for external education and access their own professional networks to support contemporary good practice.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they were kept well informed about any changes to their/their relative’s status, were advised in a timely manner about any incidents or accidents and outcomes of regular and any urgent medical reviews. This was supported in residents’ records reviewed.  Staff understood the principles of open disclosure, which is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knew how to access interpreter services, although reported this was rarely required due to all residents able to speak English.  Staff are also able to provide interpretation as and when needed and family members are available.  Sensory communication cards have been developed with information provided from the resident’s family for residents that are unable to verbally communicate or express their emotions.  The communication cards are located in the resident’s bedroom to support staff to identify the resident’s likes, dislikes and preferences and is updated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strategic and business plans, which are reviewed annually, outline the purpose, values, scope, direction and goals of the organisation. The documents describe annual and longer term objectives and the associated operational plans. A sample of quarterly reviews against the business plan and monthly data reports which go to the board of directors showed adequate information to monitor performance is reported including occupancy, resident information, financial performance, emerging risks and issues.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managed by a nurse manager (NM) who is a registered nurse and who holds relevant qualifications and has been in the role for three years. She has 18 years’ experience in aged care management. Responsibilities and accountabilities are defined in a job description and individual employment agreement.  The NM reports directly to the village manager. At the time of audit there were two temporary managers from sister facilities sharing this role. A new village manager has been appointed and is to commence in the near future.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NM confirms knowledge of the sector, regulatory and reporting requirements and maintains currency through attendance at Metlifecare conferences and study days and Age Care Association conferences. She is a member of the palliative care steering group for the Bay of Plenty and sits on the advance care planning group for the Bay of Plenty. </w:t>
            </w:r>
          </w:p>
          <w:p w:rsidR="00EB7645" w:rsidRPr="00BE00C7" w:rsidP="00BE00C7">
            <w:pPr>
              <w:pStyle w:val="OutcomeDescription"/>
              <w:spacing w:before="120" w:after="120"/>
              <w:rPr>
                <w:rFonts w:cs="Arial"/>
                <w:b w:val="0"/>
                <w:lang w:eastAsia="en-NZ"/>
              </w:rPr>
            </w:pPr>
            <w:r w:rsidRPr="00BE00C7">
              <w:rPr>
                <w:rFonts w:cs="Arial"/>
                <w:b w:val="0"/>
                <w:lang w:eastAsia="en-NZ"/>
              </w:rPr>
              <w:t>The service holds contracts with the Bay of Plenty District Health Board (BOPDHB) for respite, complex medical conditions, palliative care, transitional acute care, rest home and short term rehabilitation. Sixty-four residents were receiving services under the Age Related Residential Care contract (12 rest home and 52 hospital level care), two residents were receiving services under the Transitional Acute Care Services (TACS) contract. No Health for Older Persons Services (HOPS) residents were present at the time of audit. The TACS and HOPS beds are dedicated beds and funded by the BOPDHB.</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the NM is absent, the senior registered nurses, assisted by the clinical quality and risk manager from the organisation, carry out all the required duties under delegated authority. During absences of key clinical staff, the clinical management is overseen by the NM and other registered staff who are experienced in the sector and able to take responsibility for any clinical issues that may arise. Staff reported the current arrangements work well.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planned quality and risk system that reflects the principles of continuous quality improvement. This includes management of incidents and complaints, audit activities, a regular patient satisfaction survey, monitoring of outcomes, clinical incidents including infections, falls, wounds and pressure injuries.  Quality data is benchmarked against other Metlifecare sites and against previously collected data. A new initiative put in place by the organisation shows that now Metlifecare sites are benchmarking against five other New Zealand age care providers. Infection control data is benchmarked by a contracted off-site provider.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Meeting minutes reviewed confirmed regular review and analysis of quality indicators and that related information is reported and discussed at the organisational clinical governance meetings, quality and risk team meetings, clinical management team meetings and staff meetings. Staff reported their involvement in quality and risk management activities through being members of specific committees such as health and safety, audit activities and the implementation of corrective actions. Relevant corrective actions are developed and implemented to address any shortfalls. For example, the Maori health audit identified that there had been no iwi referrals sent for the residents who identify as Maori. The corrective actions taken included staff education and the appointment of a cultural advisor to assist in this process. During interview with the cultural advisor she stated the role is working very well. </w:t>
            </w:r>
          </w:p>
          <w:p w:rsidR="00EB7645" w:rsidRPr="00BE00C7" w:rsidP="00BE00C7">
            <w:pPr>
              <w:pStyle w:val="OutcomeDescription"/>
              <w:spacing w:before="120" w:after="120"/>
              <w:rPr>
                <w:rFonts w:cs="Arial"/>
                <w:b w:val="0"/>
                <w:lang w:eastAsia="en-NZ"/>
              </w:rPr>
            </w:pPr>
            <w:r w:rsidRPr="00BE00C7">
              <w:rPr>
                <w:rFonts w:cs="Arial"/>
                <w:b w:val="0"/>
                <w:lang w:eastAsia="en-NZ"/>
              </w:rPr>
              <w:t>Resident and family satisfaction surveys are completed annually. The most recent survey results (2018) showed Somervale had gained a 93% overall satisfaction rating. The results identified that there was an opportunity for improvement related to food services. Actions taken included a review of the menus with resident comments being passed onto the dietitian, a daily food survey for one month and placing resident feedback forms in the dining room with residents being encouraged to complete these at each meal. It has resulted in some changes to the menu. Residents interviewed at the time of audit said they were happy with the food service. The 2019 resident satisfaction survey is being collated by the independent company contracted to do this and the service will measure the success of actions taken to improve food services against the 2018 results.</w:t>
            </w:r>
          </w:p>
          <w:p w:rsidR="00EB7645" w:rsidRPr="00BE00C7" w:rsidP="00BE00C7">
            <w:pPr>
              <w:pStyle w:val="OutcomeDescription"/>
              <w:spacing w:before="120" w:after="120"/>
              <w:rPr>
                <w:rFonts w:cs="Arial"/>
                <w:b w:val="0"/>
                <w:lang w:eastAsia="en-NZ"/>
              </w:rPr>
            </w:pPr>
            <w:r w:rsidRPr="00BE00C7">
              <w:rPr>
                <w:rFonts w:cs="Arial"/>
                <w:b w:val="0"/>
                <w:lang w:eastAsia="en-NZ"/>
              </w:rPr>
              <w:t>Policies reviewed cover all necessary aspects of the service and contractual requirements, including reference to the interRAI Long Term Care Facility (LTCF) assessment tool and process.  Policies are based on best practice and were current. The document control system ensures a systematic and regular review process, referencing of relevant sources, approval, distribution and removal of obsolete documents. Policies and procedures are organisational wide and managed at head office. The policies are relevant and reflected good practice related to medical (non-acute) care.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NM and clinical quality and risk manager described the processes for the identification, monitoring, review and reporting of risks and development of mitigation strategies. The manager is familiar with the Health and Safety at Work Act (2015) and has implemented requirements.  The health and safety committee review all hazards and the hazard register was up to date.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document adverse and near miss events on an accident/incident form. This information is then recorded electronically. A sample of incidents reviewed showed all actions fully completed, incidents were investigated, action plans developed and actions followed-up in a timely manner.  Adverse event data is collated, analysed and reported across all levels of the organisation.  Recorded incidents are sent to the nurse manager daily so she is aware of all incidents and accidents that occur. The service uses the data from incidents and accidents, including service shortfalls to make improvements where possible. </w:t>
            </w:r>
          </w:p>
          <w:p w:rsidR="00EB7645" w:rsidRPr="00BE00C7" w:rsidP="00BE00C7">
            <w:pPr>
              <w:pStyle w:val="OutcomeDescription"/>
              <w:spacing w:before="120" w:after="120"/>
              <w:rPr>
                <w:rFonts w:cs="Arial"/>
                <w:b w:val="0"/>
                <w:lang w:eastAsia="en-NZ"/>
              </w:rPr>
            </w:pPr>
            <w:r w:rsidRPr="00BE00C7">
              <w:rPr>
                <w:rFonts w:cs="Arial"/>
                <w:b w:val="0"/>
                <w:lang w:eastAsia="en-NZ"/>
              </w:rPr>
              <w:t>The NM described essential notification reporting requirements, including for pressure injuries.  They advised there has been two notifications of significant events made to the Ministry of Health, using section 31 reporting since the previous audit (one on 19 May 2017 resident related and one 14 February 2019 acquired prior to entry to care). There have been no police investigations, coroner’s inquests, issues based audits or public health notifications made since the previous audit.</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includes referee checks, police vetting and validation of qualifications and practising certificates (APCs), where required.   A sample of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Staff reported that the orientation process prepared them well for their role.  Staff records reviewed showed documentation of completed orientation and a performance review after a three-month period and thereafter an annual appraisal is completed. Staff training and education is relevant to medical (non-acute) care.  </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on an annual basis. Mandatory training requirements are presented six monthly and staff attendance is monitored to ensure all staff complete the training annually. Care staff have either completed or commenced a New Zealand Qualification Authority education programme to meet the requirements of the provider’s agreement with the DHB. A staff member is the internal assessor for the programme.  There are sufficient trained and competent registered nurses who are maintaining their annual competency requirements to undertake interRAI assessments. Records reviewed demonstrated completion of the required interRAI training and completion of annual performance appraisals.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and implemented process for determining staffing levels and skill mixes to provide safe service delivery, 24 hours a day, seven days a week (24/7). This process would also be used to include staffing requirements for medical (non-acute) residents. The facility adjusts staffing levels to meet the changing needs of residents.  An afterhours on call roster is in place, with staff reporting that good access to advice is available when needed.   Care staff reported there were adequate staff available to complete the work allocated to them. One staff member expressed concerns about staffing levels when there are a greater number of palliative residents. This was investigated at the time of audit and rosters clearly showed that staffing levels were increased during these times.  Residents and family interviewed supported this. Staffing levels meet the interRAI acuity level report findings.  </w:t>
            </w:r>
          </w:p>
          <w:p w:rsidR="00EB7645" w:rsidRPr="00BE00C7" w:rsidP="00BE00C7">
            <w:pPr>
              <w:pStyle w:val="OutcomeDescription"/>
              <w:spacing w:before="120" w:after="120"/>
              <w:rPr>
                <w:rFonts w:cs="Arial"/>
                <w:b w:val="0"/>
                <w:lang w:eastAsia="en-NZ"/>
              </w:rPr>
            </w:pPr>
            <w:r w:rsidRPr="00BE00C7">
              <w:rPr>
                <w:rFonts w:cs="Arial"/>
                <w:b w:val="0"/>
                <w:lang w:eastAsia="en-NZ"/>
              </w:rPr>
              <w:t>Observations and review of a four-week roster cycle confirmed adequate staff cover has been provided, with staff replaced in any unplanned absence.  At least one staff member on duty has a current first aid certificate and there is 24/7 RN coverage in the hospital.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NM works five days per week, dedicated laundry and cleaning staff work 100 hours per week, activities staff work 80 hours per week and reception staff 40 hours per week. Maintenance staff are shared with the village and are available five days per week and on-call. Kitchen staff are managed at village level.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necessary demographic, personal, clinical and health information was fully completed in the residents’ files sampled for review. Clinical notes were current and integrated with GP and allied health service provider notes. This includes interRAI assessment information entered into the Momentum electronic database. Records were legible with the name and designation of the person making the entry identifiable.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Archived records are held securely on site in two locations and are readily retrievable using a cataloguing system. </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are held for the required period before being destroyed. No personal or private resident information was on public display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enter the service when their required level of care has been assessed and confirmed by the local Needs Assessment and Service Coordination (NASC) Service. Prospective residents and/or their families are encouraged to visit the facility prior to admission and are provided with written information about the service and the admission process.   The organisation seeks updated information from the NASC and GP for residents accessing respite care.  </w:t>
            </w:r>
          </w:p>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stated they were satisfied with the admission process and the information that had been made available to them on admission.  Files reviewed contained completed demographic detail, assessments and signed admission agreements in accordance with contractual requirements. Service charges comply with contractual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Exit, discharge or transfer is managed in a planned and co-ordinated manner, with an escort as appropriate.  The service uses the DHB’s ‘yellow envelope’ system to facilitate transfer of residents to and from acute care services. There is open communication between all services, the resident and the family/whānau.  At the time of transition between services, appropriate information is provided for the ongoing management of the resident.  All referrals are documented in the progress notes. An example was reviewed of a patient recently transferred to the local acute care facility. The resident’s file showed evidence of ongoing communication between the referring GP, facility, family and acute setting.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senior registered nurse interviewed stated that staff are experienced and skilled to be able to support residents with all medical related issues.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 RN checks medications against the prescription. All medications sighted were within current use by dates. Clinical pharmacist input is provided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and checked by two staff for accuracy when administering.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Good prescribing practices noted include the prescriber’s signature and date recorded on the commencement and discontinuation of medicines and all requirements for pro re nata (PRN) medicines met. The required three-monthly GP review is consistently recorded on the medicine chart.  Standing orders are not used.  Vaccines are not stored on site.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one resident who self-administer medications at the time of audit. Appropriate processes are in place to ensure this is managed in a safe manner. </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process for comprehensive analysis of any medication errors.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food service is provided on site by the village kitchen which is staffed by a kitchen manager/cook and supported by three cooks and kitchen team and is in line with recognised nutritional guidelines for older people.  The menu follows seasonal patterns and has been reviewed by a qualified dietitian within the last two years.  No corrective actions were required.</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The service operates with an approved food safety plan and registration issued by Tauranga city council and expires 26 July 2019. Food temperatures, including for high risk items, are monitored appropriately and recorded as part of the plan. The kitchen manager has undertaken a safe food handling qualification, with all other kitchen staff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nutritional and swallowing assessment is undertaken for each resident on admission to the facility and a dietary profile developed.  The personal food preferences, allergies, any special diets and modified texture requirements are made known to kitchen staff and accommodated in the daily meal plan.  Residents are provided with a weekly menu which provides one of two main meal options each day.  Alternative food choices are provided if requested.  Special equipment to meet resident’s nutritional needs is available. </w:t>
            </w:r>
          </w:p>
          <w:p w:rsidR="00EB7645" w:rsidRPr="00BE00C7" w:rsidP="00BE00C7">
            <w:pPr>
              <w:pStyle w:val="OutcomeDescription"/>
              <w:spacing w:before="120" w:after="120"/>
              <w:rPr>
                <w:rFonts w:cs="Arial"/>
                <w:b w:val="0"/>
                <w:lang w:eastAsia="en-NZ"/>
              </w:rPr>
            </w:pPr>
            <w:r w:rsidRPr="00BE00C7">
              <w:rPr>
                <w:rFonts w:cs="Arial"/>
                <w:b w:val="0"/>
                <w:lang w:eastAsia="en-NZ"/>
              </w:rPr>
              <w:t>The kitchen manager meets with registered staff monthly to discuss residents who have special needs, such as weight loss and swallowing difficulties, and this includes the review and evaluation of residents on specific textured and modified foods and supplements.  The kitchen manager interviewed stated that they can manage all menus, different foods, textures and diets for residents with differing medical conditions and needs.</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satisfaction surveys and residents’ meeting minutes. Residents were seen to be given sufficient time to eat their meal in an unhurried fashion and those requiring assistance had this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If a referral is received but the prospective resident does not meet the entry criteria or there is currently no vacancy, the local NASC is advised to ensure the prospective resident and family are supported to find an appropriate care alternative. If the needs of a resident change and they are no longer suitable for the services offered, a referral for reassessment to the NASC is made and a new placement found, in consultation with the resident and whānau/family.   There is a clause in the access agreement related to when a resident’s placement can be terminated.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is documented using validated nursing assessment tools, such as a pain scale, falls risk, skin integrity, and nutritional screening, as a means to identify any deficits and to inform care planning. The sample of care plans reviewed had an integrated range of resident-related information.  All residents have an interRAI assessment completed by one of three trained interRAI assessors on site which includes a senior registered nurse.  A further two registered staff are currently completing their interRAI assessor training.    Residents and families confirmed their involvement in the assessment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Plans reviewed reflected the support needs of residents, and the outcomes of the integrated assessment process and other relevant clinical information. The needs identified by the interRAI assessments were reflected in care plans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evidence service integration with progress notes, activities notes, medical and allied health professionals’ notations clearly written, informative and relevant.  Any change in care required is documented and verbally passed on to relevant staff. Residents and families reported participation in the development and ongoing evaluation of care plans.  </w:t>
            </w:r>
          </w:p>
          <w:p w:rsidR="00EB7645" w:rsidRPr="00BE00C7" w:rsidP="00BE00C7">
            <w:pPr>
              <w:pStyle w:val="OutcomeDescription"/>
              <w:spacing w:before="120" w:after="120"/>
              <w:rPr>
                <w:rFonts w:cs="Arial"/>
                <w:b w:val="0"/>
                <w:lang w:eastAsia="en-NZ"/>
              </w:rPr>
            </w:pPr>
            <w:r w:rsidRPr="00BE00C7">
              <w:rPr>
                <w:rFonts w:cs="Arial"/>
                <w:b w:val="0"/>
                <w:lang w:eastAsia="en-NZ"/>
              </w:rPr>
              <w:t>A file review of a resident admitted to the facility under the transitional active care contract (TACS) showed ongoing support from a specialist, physiotherapist, occupational therapist and nurse practitioner who visits the resident weekly.  All equipment is provided to assist the resident in returning to becoming independent.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provision of care provided to residents was consistent with their needs, goals and the plan of care.  The attention to meeting a diverse range of resident’s individualised needs was evident in all areas of service provision.  The GP interviewed, verified that medical input is sought in a timely manner, that medical orders are followed, and care is superior. Care staff confirmed that care was provided as outlined in the documentation. The physiotherapist interviewed confirmed that a range of equipment and resources was available, suited to the level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is provided by a trained diversional therapist holding the national Certificate in Diversional Therapy, an activities co-coordinator currently training to be a diversional therapist and two regular volunteers.  The activities team support residents Monday to Friday 8.00 am 4.30 pm.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is undertaken on admission to ascertain residents’ needs, interests, abilities and social requirements. Activities assessments are regularly reviewed to help formulate an activities programme that is meaningful to the residents. The resident’s activity needs are evaluated daily and as part of the formal six-monthly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Activities reflected residents’ goals, ordinary patterns of life and include normal community activities. Individual, group activities and regular events are offered.  Activities include regular art and singing groups facilitated by volunteers from the community.  A regular exercise group which is supported by the physiotherapist and a whanau group (see standard 1.1.4).   Two areas and equipment have been set up in the facility to support two residents with an interest in art and sewing.   Residents and families/whānau are involved in evaluating and improving the programme through residents’ meetings, day to day discussions and satisfaction surveys. Residents interviewed confirmed they find the programme interactive and stimulating.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Where progress is different from expected, the service responds by initiating changes to the plan of care. Examples of short term care plans being consistently reviewed and progress evaluated as clinically indicated were noted for infections and wounds.  When necessary, and for unresolved problems, long term care plans are added to and updated.  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supported to access or seek referral to other health and/or disability service providers.  Although the service has two-house doctors, residents may choose to use another medical practitioner. If the need for other non-urgent services are indicated or requested, the GP or RN sends a referral to seek specialist input.  Copies of referrals were sighted in residents’ files, including to physiotherapist, speech language therapist, dietitian and hospice team. The resident and the family/whānau are kept informed of the referral process, as verified by documentation and interviews. Any acute/urgent referrals are attended to immediately, such as sending the resident to accident and emergency in an ambulance if the circumstances dictate.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follow documented processes for the management of waste and infectious and hazardous substances.  Appropriate signage is displayed where necessary. An external company is contracted to supply and manage all chemicals and cleaning products and they also provide relevant training for staff. Material safety data sheets were available where chemicals are stored and staff interviewed knew what to do should any chemical spill/event occur.  </w:t>
            </w:r>
          </w:p>
          <w:p w:rsidR="00EB7645" w:rsidRPr="00BE00C7" w:rsidP="00BE00C7">
            <w:pPr>
              <w:pStyle w:val="OutcomeDescription"/>
              <w:spacing w:before="120" w:after="120"/>
              <w:rPr>
                <w:rFonts w:cs="Arial"/>
                <w:b w:val="0"/>
                <w:lang w:eastAsia="en-NZ"/>
              </w:rPr>
            </w:pPr>
            <w:r w:rsidRPr="00BE00C7">
              <w:rPr>
                <w:rFonts w:cs="Arial"/>
                <w:b w:val="0"/>
                <w:lang w:eastAsia="en-NZ"/>
              </w:rPr>
              <w:t>There is provision and availability of protective clothing and equipment and staff were observed using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(expiry date 20 September 2019) is publicly displayed.  </w:t>
            </w:r>
          </w:p>
          <w:p w:rsidR="00EB7645" w:rsidRPr="00BE00C7" w:rsidP="00BE00C7">
            <w:pPr>
              <w:pStyle w:val="OutcomeDescription"/>
              <w:spacing w:before="120" w:after="120"/>
              <w:rPr>
                <w:rFonts w:cs="Arial"/>
                <w:b w:val="0"/>
                <w:lang w:eastAsia="en-NZ"/>
              </w:rPr>
            </w:pPr>
            <w:r w:rsidRPr="00BE00C7">
              <w:rPr>
                <w:rFonts w:cs="Arial"/>
                <w:b w:val="0"/>
                <w:lang w:eastAsia="en-NZ"/>
              </w:rPr>
              <w:t>Appropriate systems are in place to ensure the residents’ physical environment and facilities are fit for their purpose and maintained.  The testing and tagging of electrical equipment and calibration of bio medical equipment was current as confirmed in documentation reviewed, interviews with maintenance personnel and observation of the environment.  The environment was hazard free, residents were safe and independence was promoted. A monthly workplace inspection audit identifies any issues. These are recorded, reported and managed to ensure resident safety.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External areas are safely maintained and are appropriate to the resident groups and setting.  This includes shaded outdoor seating. The ground level bedrooms have ranch sliders with direct access to the outdoors and residents on level one access the outdoor areas via the lifts.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confirmed they are happy with the environment.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numbers of accessible bathroom and toilet facilities throughout the facility.   This includes every bedroom having full ensuite facilities and each floor having two communal toilet and shower areas. Appropriately secured and approved handrails are provided in the toilet/shower areas, and other equipment/accessories are available to promote residents’ independence.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personal space is provided to allow residents and staff to move around within their bedrooms safely.  All bedrooms provide single accommodation.  Rooms are personalised with furnishings, photos and other personal items displayed.    </w:t>
            </w:r>
          </w:p>
          <w:p w:rsidR="00EB7645" w:rsidRPr="00BE00C7" w:rsidP="00BE00C7">
            <w:pPr>
              <w:pStyle w:val="OutcomeDescription"/>
              <w:spacing w:before="120" w:after="120"/>
              <w:rPr>
                <w:rFonts w:cs="Arial"/>
                <w:b w:val="0"/>
                <w:lang w:eastAsia="en-NZ"/>
              </w:rPr>
            </w:pPr>
            <w:r w:rsidRPr="00BE00C7">
              <w:rPr>
                <w:rFonts w:cs="Arial"/>
                <w:b w:val="0"/>
                <w:lang w:eastAsia="en-NZ"/>
              </w:rPr>
              <w:t>There is room to store mobility aids, wheelchairs and mobility scooters. Seven bedrooms are fitted with ceiling hoists and all bedrooms are fitted out so ceiling hoists can be installed. Staff and residents reported the adequacy of bedrooms.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Communal areas are available for residents to engage in activities.  Each wing has a pod with a maximum of 12 residents. Each pod has a kitchen, dining and lounge area which are spacious and enable easy access for residents and staff.  Residents can access areas for privacy, if required.  Furniture is appropriate to the setting and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Laundry is undertaken on site in a dedicated laundry which is well equipped and has a good clean/dirty flow.  Dedicated laundry staff demonstrated a sound knowledge of the laundry processes, dirty/clean flow and handling of soiled linen. Residents interviewed reported the laundry is managed well and their clothes are returned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small designated cleaning team who have received appropriate training. Chemicals were stored in a lockable cupboard and were in appropriately labelled containers. </w:t>
            </w:r>
          </w:p>
          <w:p w:rsidR="00EB7645" w:rsidRPr="00BE00C7" w:rsidP="00BE00C7">
            <w:pPr>
              <w:pStyle w:val="OutcomeDescription"/>
              <w:spacing w:before="120" w:after="120"/>
              <w:rPr>
                <w:rFonts w:cs="Arial"/>
                <w:b w:val="0"/>
                <w:lang w:eastAsia="en-NZ"/>
              </w:rPr>
            </w:pPr>
            <w:r w:rsidRPr="00BE00C7">
              <w:rPr>
                <w:rFonts w:cs="Arial"/>
                <w:b w:val="0"/>
                <w:lang w:eastAsia="en-NZ"/>
              </w:rPr>
              <w:t>Cleaning and laundry processes are monitored through observation, the internal audit programme and by the chemical provider.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guidelines for emergency planning, preparation and response are displayed and known to staff. Disaster and civil defence planning guides direct the facility in their preparation for disasters and described the procedures to be followed in the event of a fire or other emergency.   The current fire evacuation plan was approved by the New Zealand Fire Service on the 14 September 2017.  A trial evacuation takes place six-monthly, the most recent being on 11 April 2019. Fire warden training occurred on the 17 April 2019.  The orientation programme includes fire and security training.  Staff confirmed their awareness of the emergency procedures.</w:t>
            </w:r>
          </w:p>
          <w:p w:rsidR="00EB7645" w:rsidRPr="00BE00C7" w:rsidP="00BE00C7">
            <w:pPr>
              <w:pStyle w:val="OutcomeDescription"/>
              <w:spacing w:before="120" w:after="120"/>
              <w:rPr>
                <w:rFonts w:cs="Arial"/>
                <w:b w:val="0"/>
                <w:lang w:eastAsia="en-NZ"/>
              </w:rPr>
            </w:pPr>
            <w:r w:rsidRPr="00BE00C7">
              <w:rPr>
                <w:rFonts w:cs="Arial"/>
                <w:b w:val="0"/>
                <w:lang w:eastAsia="en-NZ"/>
              </w:rPr>
              <w:t>Adequate supplies for use in the event of a civil defence emergency, including food, water, blankets, mobile phones and gas BBQ’s were sighted and meet the requirements for the 69 residents. Water storage tanks are located around the complex. Emergency lighting is regularly tested.</w:t>
            </w:r>
          </w:p>
          <w:p w:rsidR="00EB7645" w:rsidRPr="00BE00C7" w:rsidP="00BE00C7">
            <w:pPr>
              <w:pStyle w:val="OutcomeDescription"/>
              <w:spacing w:before="120" w:after="120"/>
              <w:rPr>
                <w:rFonts w:cs="Arial"/>
                <w:b w:val="0"/>
                <w:lang w:eastAsia="en-NZ"/>
              </w:rPr>
            </w:pPr>
            <w:r w:rsidRPr="00BE00C7">
              <w:rPr>
                <w:rFonts w:cs="Arial"/>
                <w:b w:val="0"/>
                <w:lang w:eastAsia="en-NZ"/>
              </w:rPr>
              <w:t>Call bells alert staff to residents requiring assistance.  Call system audits are completed monthly and residents and families reported staff respond promptly to call bells.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 security arrangements are in place. Doors and windows are locked at a predetermined time and the exterior gates are shut at 8pm. The gates open automatically from the inside. There is an open walking gate if residents wish to use it at any time. A night porter undertakes regular nightly security checks of the premises.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and communal areas are heated and ventilated appropriately.  Rooms have natural light, opening external windows and ranch slider doors. The downstairs bedroom ranch sliders open onto outdoor areas and the upstairs bedrooms ranch sliders have glassed in lower areas for safety. Heating is electric and each bedroom has a heat pump which the resident can operate as they choose. Areas were warm and well ventilated throughout the audit and residents and families confirmed the facilities are maintained at a comfortable temperature.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implements an infection prevention and control (IPC) programme to minimises the risk of infection to residents, staff and visitors.  The programme is guided by a comprehensive and current infection control manual, with input from the GP. The infection control programme and manual are reviewed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 is the designated IPC coordinator, whose role and responsibilities are defined in a job description. Infection control matters, including surveillance results, are reported monthly by the clinical quality and risk manager to the clinical director of nursing and tabled at the quality/risk committee meeting.  This committee includes the nurse manager, clinical quality and risk manager, IPC coordinator, the health and safety officer, and representatives from food services and household management. </w:t>
            </w:r>
          </w:p>
          <w:p w:rsidR="00EB7645" w:rsidRPr="00BE00C7" w:rsidP="00BE00C7">
            <w:pPr>
              <w:pStyle w:val="OutcomeDescription"/>
              <w:spacing w:before="120" w:after="120"/>
              <w:rPr>
                <w:rFonts w:cs="Arial"/>
                <w:b w:val="0"/>
                <w:lang w:eastAsia="en-NZ"/>
              </w:rPr>
            </w:pPr>
            <w:r w:rsidRPr="00BE00C7">
              <w:rPr>
                <w:rFonts w:cs="Arial"/>
                <w:b w:val="0"/>
                <w:lang w:eastAsia="en-NZ"/>
              </w:rPr>
              <w:t>Signage at the main entrance to the facility requests anyone who is or has been unwell not to enter the facility. The infection control manual provides guidance for staff about how long they must stay away from work if they have been unwell. Staff interviewed understood these responsibilities.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IPC coordinator has appropriate skills, knowledge and qualifications for the role, and has been in this role since March 2019.  She has undertaken training in infection prevention and control and attended relevant study days, as verified in training records sighted.  Additional support and information is accessed from the infection control team at the DHB, the community laboratory, the GP and public health unit, as required.  The coordinator has access to residents’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The IPC coordinator confirmed the availability of resources to support the programme and any outbreak of an infection.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policies reflected the requirements of the infection prevention and control standard and current accepted good practice.  Policies were last reviewed in 2019 and include appropriate referencing.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delivery, cleaning, laundry and kitchen staff were observed following organisational policies, such as appropriate use of hand-sanitisers, good hand-washing technique and use of disposable aprons and gloves.  Hand washing and sanitiser dispensers are readily available around the facility including at reception and residents’ individual bedrooms.  Staff interviewed verified knowledge of infection control policies and practices.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observation and documentation verified staff have received education in infection prevention and control at orientation and ongoing education sessions.  Education is provided by suitably qualified RNs, and the IPC coordinator.  Content of the training is documented and evaluated to ensure it is relevant, current and understood.  A record of attendance is maintained.   </w:t>
            </w:r>
          </w:p>
          <w:p w:rsidR="00EB7645" w:rsidRPr="00BE00C7" w:rsidP="00BE00C7">
            <w:pPr>
              <w:pStyle w:val="OutcomeDescription"/>
              <w:spacing w:before="120" w:after="120"/>
              <w:rPr>
                <w:rFonts w:cs="Arial"/>
                <w:b w:val="0"/>
                <w:lang w:eastAsia="en-NZ"/>
              </w:rPr>
            </w:pPr>
            <w:r w:rsidRPr="00BE00C7">
              <w:rPr>
                <w:rFonts w:cs="Arial"/>
                <w:b w:val="0"/>
                <w:lang w:eastAsia="en-NZ"/>
              </w:rPr>
              <w:t>Education with residents is generally on a one-to-one basis and has included reminders about handwashing, advice about remaining in their room if they are unwell, and increasing fluids during hot weather.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Surveillance is appropriate to that recommended for long term care facilities and includes urinary tract infection, respiratory tract infection, skin, wound, eye, gastro enteritis and other infections.  The IPC coordinator/registered nurse reviews all reported infections, and these are documented.  New infections and any required management plan are discussed at handover, to ensure early intervention occurs and short-term care plans are developed.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surveillance data is collated and analysed to identify any trends, possible causative factors and required actions. Results of the surveillance programme are shared with staff via regular staff meetings and at staff handovers.  Trends are identified from the past year and this is reported by the clinical quality and risk manager and reported to all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had a total of ten (10) infections since October 2018 through to and including March 2019.  There were no infections for October 2018 and March 2019.  Residents’ files reviewed highlighted short term and long-term care planning to reduce and minimise the risk of infection.   Care staff interviewed demonstrated knowledge of residents who have a higher risk of infections and the interventions required.  Data is benchmarked internally within the group. Benchmarking has provided assurance that infection rates in the facility are below average for the sector.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meet the requirements of the restraint minimisation and safe practice standards and provide guidance on the safe use of both restraints and enablers should they be required.  The restraint coordinator provides support and oversight for enabler and restraint management in the facility and demonstrated a sound understanding of the organisation’s policies, procedures and practice and her role and responsibilities. Policy states that enablers are defined as equipment, devices or furniture, voluntarily used by a resident following appropriate assessment, that limits normal freedom of movement, with the intent of promoting independence, comfort and safety.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no residents were using restraints or enablers. The facility is restraint free. The restraint coordinator confirmed that restraint would only be used as a last resort when all alternatives have been explored. Staff reported being proud of having a restraint free environment.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537"/>
        <w:gridCol w:w="1280"/>
        <w:gridCol w:w="5468"/>
        <w:gridCol w:w="565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data are collected, analysed and evaluated and the results are communicated at service and organisational level. Where appropriate, residents and family are informed. This was confirmed during interviews with staff, management, residents and family members. The resident and family satisfaction survey supported this finding gaining a 100% satisfaction rating regarding being kept informed.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identified that whilst benchmarking of quality data was occurring against all Metlifecare facilities, with the exception of infection control data which is benchmarked against many non Metlifecare sites by a contracted company, they would like to broaden the benchmarking of quality data. At senior management level this was identified as an opportunity for improvement and agreement was gained by five other large New Zealand aged care providers to share quality data and benchmark on a nationwide level. For example, the data identifies that as a group Metlifecare are below the average for falls and infection rates.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Benchmarking of all quality data is now compared with facilities other than those owned by Metlifecare and the measures shown in graph form allow Metlifecare facilities, including Somervale, to evaluate the success of quality improvements put in place by having a comparative benchmarked data against five other large New Zealand providers and allows a measure of success of service provision. Across the groups the average falls per 1000 occupied bed days is 9.68, for Metlifecare it is 6.90 (April 2019). The benchmarking data is shared at all levels of the organisation and is supporting ongoing quality improvements to resident safety and satisfaction.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Metlifecare Limited - Metlifecare Somervale</w:t>
    </w:r>
    <w:bookmarkEnd w:id="58"/>
    <w:r>
      <w:rPr>
        <w:rFonts w:cs="Arial"/>
        <w:sz w:val="16"/>
        <w:szCs w:val="20"/>
      </w:rPr>
      <w:tab/>
      <w:t xml:space="preserve">Date of Audit: </w:t>
    </w:r>
    <w:bookmarkStart w:id="59" w:name="AuditStartDate1"/>
    <w:r>
      <w:rPr>
        <w:rFonts w:cs="Arial"/>
        <w:sz w:val="16"/>
        <w:szCs w:val="20"/>
      </w:rPr>
      <w:t>30 April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