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Harbour View Rest Home (2005) Limited - Harbour View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Harbour View Rest Home (2005)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Harbour View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April 2019</w:t>
      </w:r>
      <w:bookmarkEnd w:id="7"/>
      <w:r w:rsidRPr="009418D4">
        <w:rPr>
          <w:rFonts w:cs="Arial"/>
        </w:rPr>
        <w:tab/>
        <w:t xml:space="preserve">End date: </w:t>
      </w:r>
      <w:bookmarkStart w:id="8" w:name="AuditEndDate"/>
      <w:r w:rsidR="00A4268A">
        <w:rPr>
          <w:rFonts w:cs="Arial"/>
        </w:rPr>
        <w:t>4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There is a reconfiguration of room G to be a dual-purpose bed for both rest home and dementia use.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Harbour View rest home is privately owned and operated.  The owner is the designated manager.  An administrator, registered nurses and care staff support the manager.  The service is certified to provide rest home and dementia care for up to 45 residents with 44 residents on the days of audit.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management, staff, residents, relative and the general practitioner.  The residents and relative commented positively on the services and care provided at Harbour View Rest Home.  </w:t>
      </w:r>
    </w:p>
    <w:p w:rsidRPr="00A4268A">
      <w:pPr>
        <w:spacing w:before="240" w:line="276" w:lineRule="auto"/>
        <w:rPr>
          <w:rFonts w:eastAsia="Calibri"/>
        </w:rPr>
      </w:pPr>
      <w:r w:rsidRPr="00A4268A">
        <w:rPr>
          <w:rFonts w:eastAsia="Calibri"/>
        </w:rPr>
        <w:t>A current room that was being used as a room within the dementia unit has been verified as suitable to be utilised as a rest home room by the opening of another and securing the one to the dementia room.  It is intended that this room due to its location can be used as a dual-purpose room depending on the need for a dementia or a rest home bed.</w:t>
      </w:r>
    </w:p>
    <w:p w:rsidRPr="00A4268A">
      <w:pPr>
        <w:spacing w:before="240" w:line="276" w:lineRule="auto"/>
        <w:rPr>
          <w:rFonts w:eastAsia="Calibri"/>
        </w:rPr>
      </w:pPr>
      <w:r w:rsidRPr="00A4268A">
        <w:rPr>
          <w:rFonts w:eastAsia="Calibri"/>
        </w:rPr>
        <w:t xml:space="preserve">Harbour View has a quality and risk management system in place.  Residents and families interviewed were complimentary of the care and support provided.  </w:t>
      </w:r>
    </w:p>
    <w:p w:rsidRPr="00A4268A">
      <w:pPr>
        <w:spacing w:before="240" w:line="276" w:lineRule="auto"/>
        <w:rPr>
          <w:rFonts w:eastAsia="Calibri"/>
        </w:rPr>
      </w:pPr>
      <w:r w:rsidRPr="00A4268A">
        <w:rPr>
          <w:rFonts w:eastAsia="Calibri"/>
        </w:rPr>
        <w:t>The previous finding around complaint documentation has been addressed.</w:t>
      </w:r>
    </w:p>
    <w:p w:rsidRPr="00A4268A">
      <w:pPr>
        <w:spacing w:before="240" w:line="276" w:lineRule="auto"/>
        <w:rPr>
          <w:rFonts w:eastAsia="Calibri"/>
        </w:rPr>
      </w:pPr>
      <w:r w:rsidRPr="00A4268A">
        <w:rPr>
          <w:rFonts w:eastAsia="Calibri"/>
        </w:rPr>
        <w:t>This audit has identified a further area for improvement around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complaints procedure is provided to residents and relatives as part of the admission process.  Information is also posted on noticeboards around the facility.  There is a complaint register that is up-to-date and includes relevant information regarding the complaint.  Documentation including follow-up letters and resolution demonstrates that complaints are well managed.  Relatives interviewed confirmed they were well informed of incidents/accidents and changes of health status.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 The service continues to implement a quality and risk management programme.  Quality activities are conducted, and this generates improvements in practice and service delivery.  Residents meetings are held regularly, and residents and families have been surveyed.  Health and safety policies, systems and processes are implemented to manage risk.  Incidents and accidents are reported and managed.  Staff files are maintained, and annual appraisals have been conducted.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interRAI assessments, risk assessments, care plans and evaluations within the required timeframes.  Care plans demonstrate service integration.  Residents and family members interviewed confirmed they were involved in the care plan process and review.  Care plans are updated when there are changes in health status.  The general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A diversional therapist facilitates the activities programme.  The programme is resident-focused and provides group and individual activities planned around everyday activities.  Each resident has an individualised plan.  Community activities are encouraged, and van outings are arranged on a regular basis.  </w:t>
      </w:r>
    </w:p>
    <w:p w:rsidRPr="00A4268A" w:rsidP="00621629">
      <w:pPr>
        <w:spacing w:before="240" w:line="276" w:lineRule="auto"/>
        <w:rPr>
          <w:rFonts w:eastAsia="Calibri"/>
        </w:rPr>
      </w:pPr>
      <w:r w:rsidRPr="00A4268A">
        <w:rPr>
          <w:rFonts w:eastAsia="Calibri"/>
        </w:rPr>
        <w:t xml:space="preserve">There are medicine management policies and procedures in place that reflect current guidelines.  Medication is managed using an electronic medication management system.  The medication charts are reviewed by the GP three-monthly.  All staff responsible for administration of medicines had completed education and medication competencies.  </w:t>
      </w:r>
    </w:p>
    <w:p w:rsidRPr="00A4268A" w:rsidP="00621629">
      <w:pPr>
        <w:spacing w:before="240" w:line="276" w:lineRule="auto"/>
        <w:rPr>
          <w:rFonts w:eastAsia="Calibri"/>
        </w:rPr>
      </w:pPr>
      <w:r w:rsidRPr="00A4268A">
        <w:rPr>
          <w:rFonts w:eastAsia="Calibri"/>
        </w:rPr>
        <w:t xml:space="preserve">A dietitian has reviewed the menu.  Individual and special dietary needs are accommodated.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Internal and external areas are safe and easily accessible for residents and family members.  The dementia unit is secure and has a pleasant, secure garden.  Rest home residents can move freely around the facility.  There is a preventative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Harbour View has restraint minimisation and safe practice policies and procedures in place.  Staff receive training in restraint minimisation and challenging behaviour management.  On the day of audit, there were no residents with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1"/>
        <w:gridCol w:w="1280"/>
        <w:gridCol w:w="10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are in place.  Residents and relatives can lodge formal or informal complaints through verbal and written communication, resident meetings, and complaint forms.  Information on the complaint’s forms includes the contact details for the Health and Disability Advocacy Service.  Complaints forms are available at reception.  The complaints register includes all complaints both written and verbal, and includes documentation of correspondence for each complaint.  Complaints are logged onto the electronic system, and discussed at meetings.  There have been six complaints from January 2018 to date.  Appropriate actions have been taken in the management and processing of complaints.  Staff are aware of the complaints process and to whom they should direct complaints.  The complaints procedure is provided to residents and relatives within the information pack at entry.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complaint that included communication, adverse event reporting and service provider availability.  There were no identified issues in respect of this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interviewed (rest home),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A sample of twelve incident/accidents had documented evidence of family notification or noted if family did not wish to be informed.  Four relatives (two rest home and two dementia) interviewed, confirmed that they are notified of any changes in their family member’s health status, and commented on having good relationships with the staff and management.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Harbour View is privately owned and operated.  The owner is the manager and has owned and operated Harbour View for 16 years.  The service is certified to provide rest home and dementia specific care for up to 45 residents (27 rest home and 17 dementia).  This audit included a reconfiguration of room G to be dual-purpose for both rest home and dementia level care as required.  The room was verified as suitable to be used for either rest home level or dementia level depending the need.  On the day of the audit, this room was occupied by a resident on a short-term carer support contract at rest home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44 residents (27 rest home including the resident in the dual-purpose bed, and one resident occupying a double room in the rest home, and 17 dementia).  All long-term residents are under the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Harbour View has clearly defined goals and objectives for business management, quality and risk management and resident service delivery.  The mission statement, and vision and values of the services include promoting resident’s independence, respecting cultural values and providing a caring homelike environment.  An annual review of the quality and risk management programme is conducted.  The philosophy of the service also includes providing safe and therapeutic care for residents with dementia that enhances their quality of life and minimises risks associated with their confused states.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been in the role for 16 years, is an experienced health administrator, and has attended in excess of eight hour’s professional development in the past 12 months.  A clinical nursing coordinator supports the manager, she has been in the role for 18 months and has experience in age care.  They are supported by an office manager, registered nurses, and long serving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Harbour View has a quality risk management plan in place that is reviewed annually.  The manager manages the quality programme and has developed a quality plan for 2019.  The service has in place a range of policies and procedures to support service delivery, these are regularly reviewed and discussed at meetings.  Discussions with staff (one diversional therapist, one cook, one maintenance, five healthcare assistants (HCA), and two registered nurses) confirmed they are required to read reviewed/new policies.  Staff could describe the quality data which includes infection control, incidents and accidents, internal audit results and quality improvements discussed at meetings.  Harbour View continues to be restraint free, and this continues to be discussed at meetings.  Meeting minutes and quality data are displayed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and procedures are implemented.  The hazard register has been reviewed in December 2018.  Health and safety issues are discussed at both the combined health and safety/infection control/quality meetings and staff meetings.  There are procedures to guide staff in managing clinical and non-clinical emergencies visible in the nurses’ station, and a registered nurse (RN) is on call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Identification of individualised interventions for each resident to minimise future falls are well documented in the care plans.  Corrective actions around falls prevention are implemented.  Equipment includes; sensor mats, chair alarms, and a sensor/movement alarm, and the use of surveillance cameras in public areas alert to staff to residents’ movements.  Monitoring forms are in place for residents who require frequent monitoring to prevent falls.  Activities are involved and encourage residents to participate in exercises, and Tai Chi is provided by a volunteer.  Outdoor areas have been upgraded and are well utilised by residents and relatives.  Falls and prevention strategies are discussed at the combined quality meeting and the staff meeting.  Staff interviewed could describe a variety of falls prevention strategies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 survey has been conducted for 2018, which shows residents are overall very satisfied.  The results have been compared to the 2017 results.  The improvements implemented from the 2017 survey included the employment of a designated laundry person, cooks taking over serving breakfast, and the activities plan was reviewed, as per resident request.  The 2018 satisfaction survey showed an increase in satisfaction in these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improvements following the 2018 resident and relative survey includes upgrading the outdoor areas, which has been completed.  The outdoor area in the dementia unit has been upgraded to include renewing the artificial grass carpeting, opening up the back of the area to include a large flat area suitable for bowls, new pot plants and ornaments decorate the area.  Since this has been completed, relatives report the outdoor area is utilised more.  The other improvement has included changing the cleaning routine to prevent odours.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monthly.  The results are discussed at the quality/infection control/health and safety meetings, now held three monthly since January 2019 (previously monthly), and the monthly clinical meetings and staff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Twelve incident forms were reviewed (five dementia and seven rest home).  All incident forms identified timely RN assessment of the resident and corrective actions to minimise resident risk.  Neurological observations had been completed for all unwitnessed falls and any known head injury.  The next of kin had been notified for all incidents/accidents as requested by the relatives.  The healthcare assistants interviewed could discuss the incident reporting process, and procedures and protocols in place for dealing with emergencies when registered nurses are not on site.  The clinical nursing coordinator collects incident/accident forms, completes investigations and implements corrective actions as required.  Relatives interviewed described the ‘instruction for reporting form’ they completed on admission, and reported they are fully informed of all incidents.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nursing coordinator could describe situations that would require reporting to relevant authorities.  There have been no notifications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Five staff files were reviewed (one clinical nursing coordinator (CNC), one diversional therapist, one cook, one recently appointed HCA, one senior HCA).  There is evidence that reference checks were completed before employment was offered.  Annual staff appraisals were evident in all staff files reviewed.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Completed orientation is on files and staff described the orientation programme.  The in-service education programme for 2018 has been completed and the plan for 2019 is being implemented.  The manager, clinical nursing coordinator and RNs are able to attend external training, including sessions provided by the district health board (DHB).  Discussions with the HCAs and the RNs confirmed that ongoing training is encouraged and supported by the service.  Eight hours of staff development or in-service education has been provided annually.  There are three RNs (not including the CNC), two permanent part time and one casual, the two permanent RNs and the CNC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Fifteen HCAs work in the dementia unit – a total of seventeen staff across the facility have completed the required dementia unit standards and two are in the process of completing.  Three HCAs have not yet completed dementia training standards.  The activities coordinator has completed the required dementia unit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 HCAs have completed Careerforce training.  Currently there are five HCAs with level 2, twelve HCAs with level 3, and seven HCAs with level 4.  One newly employed staff have not yet commenced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Harbour View policy includes staff rationale and skill mix.  Sufficient staff are rostered on to manage the care requirements of the rest home and dementia residents.  The manager and registered nurses share on-call after-hours and weekends.  Staff interviewed advised that extra staff members can be called on for increased resident requirements.  Interviews with staff, residents and relatives identify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nursing coordinator works three days from 11.00 am-7.30 pm and two days 10.00 am-6.30 pm.  One part-time RN works 9.00 am-3.30 pm five days a week across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(17 residents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duty from 8.00 am to 12.00 pm three days a week (Monday-Wednesday).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 shift, there are two HCAs (one is a senior HCA medicine competent) that work a long shift from 6.45 am to 3.15 pm, one HCA works a short shift from 7.00 am to 1.30 pm.  On afternoon shift, there are two HCAs (one is a senior HCA medicine competent) 3.00 pm to 11.00 pm, and one HCA works a short shift from 3.00 pm to 9.00 pm.  There is one senior HCA overnight.  All senior HCAs are medicine competent and first aid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Advised that short shifts can be added according to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(27 residents). </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 there are two HCAs (one senior HCA) work long shift 7.00 am to 3.00 pm, 8.00 am to 3.00 pm and one HCA works a short shift from 7.00 am to 1.00 pm.  On afternoon shift there are two HCAs, (one senior HCA) works long shift 3.00 pm to 11.00 pm, and one HCA works from 4.00 pm to 9.00 pm.  There is one senior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 diversional therapist) works from Monday to Friday 9.00 am-4.00 pm and an activities assistant works from 10.00 am-2.30 pm on a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an electronic medication management system.  The registered nurses reconcile the blister packed medication against the individual resident electronic medication charts on delivery.  Ten medication chart signing sheets were reviewed (five rest home and five dementia) and reflected medications were administered as prescribed.  Medications have been reviewed three-monthly with medical reviews by the attending GP.  All ‘as required’ (PRN) medications have been administered as prescribed including reason for administration and efficacy is documented.  However, not all medicines were prescribed on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photos and documented allergies or ‘nil known’ were documented on all ten medication charts reviewed.  An annual medication administration competency has been completed for all staff administrating medications and medication training had been conducted.  There is a self-medicating resident’s policy and procedures in place.  There were currently two residents who self-administered inhalers, and competencies are in place and reviewed by the RN and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at Harbour View.  A food control plan is in place expiring 18 January 2020.  There are two cooks that cover the seven-day week.  They have completed food safety training online.  There is a four-weekly rotating menu (summers and winter menus) that has been reviewed by a dietitian.  The cook receives notification of any resident dietary changes and requirements.  The dementia unit residents have their own dining room and meals are served via a lockable servery hatch.  Dislikes and food allergies are known and accommodated.  </w:t>
            </w:r>
          </w:p>
          <w:p w:rsidR="00EB7645" w:rsidRPr="00BE00C7" w:rsidP="00BE00C7">
            <w:pPr>
              <w:pStyle w:val="OutcomeDescription"/>
              <w:spacing w:before="120" w:after="120"/>
              <w:rPr>
                <w:rFonts w:cs="Arial"/>
                <w:b w:val="0"/>
                <w:lang w:eastAsia="en-NZ"/>
              </w:rPr>
            </w:pPr>
            <w:r w:rsidRPr="00BE00C7">
              <w:rPr>
                <w:rFonts w:cs="Arial"/>
                <w:b w:val="0"/>
                <w:lang w:eastAsia="en-NZ"/>
              </w:rPr>
              <w:t>The meals were well-presented, and residents confirmed that they are provided with alternative meals as per request.  There is food available 24-hours per day in the dementia care unit.  Fridge temperatures are recorded weekly and freezer temperatures are recorded monthly.  Food temperatures had been taken and recorded daily.  A cleaning schedule is maintained.  Expiry dates are documented on storage containers when food was evidenced to have been decanted from the original container.  All residents are weighed at least monthly.  Residents with weight loss are provided with food supplements.  The cook meets with the speech and language therapist to discuss options for residents with swallowing difficulties.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 for the opportunity for resident feedback on the meals and food services generally.  Residents and family members interviewed indicated satisfaction with the food service.  The cook is part of the combined quality, health and safety and infections control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external nursing or allied health advice is required, the RNs will initiate a referral.  Caregivers follow the care plans and report progress against the care plan each shift.  Staff have access to sufficient medical supplies including dressings.  Sufficient continence products are available and resident files sampled included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place for vital signs including weight, wounds, behaviour management, food and fluid balance charts and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superficial skin tears and a laceration on the day of the audit.  All wounds have an assessment, management plan, progress and evaluation.  All wound documentation reviewed was fully completed and wound care was evidenced to be occurring within the prescribed timeframes.  Photos have been taken to show progression or deterioration of wounds.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diversional therapist employed who works 30 hours per week, Monday – Friday, with a part-time activities assistant working five hours a week.  The activities team are supported by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also invite some of the dementia residents to join in the rest home activities programme.  Activities are provided for each morning and afternoon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Harbour View continues to provide a well-attended activity programme for residents.  The care staff deliver the activity programme at the weekends and in the dementia unit when the activities staff are not present.  The monthly activity programme is displayed on noticeboards.  There are a range of activities to meet most needs including (but not limited to) entertainment, housie, bowls, and games, group exercises and church services.  Variations to the programme are notified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activities were seen to be taking place and most residents were actively engaged.  The activities assistant has one-on-one time with residents who are unable or who choose not to participate in the programme.  There are van outings twice weekly arranged for all residents to enjoy.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are evaluated by the registered nurses within three weeks of admission.  The long-term care plan is reviewed at least six-monthly or earlier if there is a change in health status.  Evaluations document progress toward goals.  There is at least a three-monthly review by the GP.  Changes in health status are documented and followed up.  Care plan reviews are signed by an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acute needs and changes in condition.  These were either resolved or transferred to long-term care plans.  Where progress is different from expected, the service responds by initiating changes to the care plan.  Short-term care plans were in place for one skin tear and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All hoists, medical equipment and weigh scales have been recently calibrated, tagged and tested.  There is a preventative maintenance schedule in place.  Hot water temperatures are checked monthly and are within safe parameters.  If there are concerns, corrective actions are implemented.  There is a secure area for residents in the dementia unit to enjoy the outdoors in a safe environment which has recently been upgraded and surveillance cameras have been installed to public areas to allow for better monitoring of residents.  All outdoor areas are easily accessible for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Part of the audit was to review the reconfiguration of room G to be utilised as a dual-purpose room.  The room is ideally situated on the corner of the dementia unit and the main foyer of the rest home.  There are two doors, one to the dementia unit, and one to the main foyer on the rest home side.  Each door has a lock, and can be concealed by a sliding door when not in use.  The room is spacious, and furniture can be arranged in a variety of ways to suit resident needs.  The room has a large window with a view of the harbour and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infection control coordinator.  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 health and safety/infection control meeting, clinical and staff meetings and results posted for staff to view.  If there is an emergent issue, it is acted upon in a timely manner.  Reports are easily accessible to the owner/manager and nurses.  The infection rate is very low and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facility was not utilising restraint on audit day and no residents had an enabler.  Staff interviews, and staff records evidenced guidance has been given on restraint minimisation, enabler usage and prevention and/or de-escalation techniques.  Policies and procedures include definition of restraint and enabler that are congruent with the definition in NZS 8134.0.  Staff education on restraint and enabler use has been provided.  Restraint use audits have been conducted and restraint has been discussed as part of staff and management meetings.  The clinical nurse coordinator is the designated restraint coordinator.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1"/>
        <w:gridCol w:w="1280"/>
        <w:gridCol w:w="6522"/>
        <w:gridCol w:w="1372"/>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reviewed were clear, and medications have been prescribed correctly.  However, oxygen was not prescribed for one resident on oxygen.  All charts have been reviewed three monthly.  Allergies and photographic identification are evident on all files.  All medications are stored in accordance with current legislation.  There were no expired medications on site, and a log of medications returned to the pharmacy is maintained.  There is a low usage of ‘as required’ antipsychotic medications.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rest home resident on long term oxygen does not have this prescribed on the electronic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oxygen is prescribed on the electronic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Harbour View Rest Home (2005) Limited - Harbour View Rest Home</w:t>
    </w:r>
    <w:bookmarkEnd w:id="58"/>
    <w:r>
      <w:rPr>
        <w:rFonts w:cs="Arial"/>
        <w:sz w:val="16"/>
        <w:szCs w:val="20"/>
      </w:rPr>
      <w:tab/>
      <w:t xml:space="preserve">Date of Audit: </w:t>
    </w:r>
    <w:bookmarkStart w:id="59" w:name="AuditStartDate1"/>
    <w:r>
      <w:rPr>
        <w:rFonts w:cs="Arial"/>
        <w:sz w:val="16"/>
        <w:szCs w:val="20"/>
      </w:rPr>
      <w:t>3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